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6026B">
      <w:pPr>
        <w:pStyle w:val="6"/>
        <w:keepNext w:val="0"/>
        <w:keepLines w:val="0"/>
        <w:pageBreakBefore w:val="0"/>
        <w:kinsoku/>
        <w:wordWrap/>
        <w:overflowPunct/>
        <w:topLinePunct w:val="0"/>
        <w:autoSpaceDE/>
        <w:autoSpaceDN/>
        <w:bidi w:val="0"/>
        <w:spacing w:before="0" w:line="360" w:lineRule="auto"/>
        <w:ind w:left="0" w:firstLine="161" w:firstLineChars="50"/>
        <w:jc w:val="center"/>
        <w:textAlignment w:val="auto"/>
        <w:rPr>
          <w:rFonts w:ascii="Times New Roman" w:hAnsi="Times New Roman"/>
          <w:b/>
          <w:color w:val="auto"/>
          <w:sz w:val="32"/>
          <w:szCs w:val="32"/>
        </w:rPr>
      </w:pPr>
      <w:r>
        <w:rPr>
          <w:rFonts w:ascii="Times New Roman" w:hAnsi="Times New Roman"/>
          <w:b/>
          <w:color w:val="auto"/>
          <w:sz w:val="32"/>
          <w:szCs w:val="32"/>
        </w:rPr>
        <w:t>例文模板（删减版）：</w:t>
      </w:r>
    </w:p>
    <w:p w14:paraId="3739C9B1">
      <w:pPr>
        <w:keepNext w:val="0"/>
        <w:keepLines w:val="0"/>
        <w:pageBreakBefore w:val="0"/>
        <w:kinsoku/>
        <w:wordWrap/>
        <w:overflowPunct/>
        <w:topLinePunct w:val="0"/>
        <w:autoSpaceDE/>
        <w:autoSpaceDN/>
        <w:bidi w:val="0"/>
        <w:spacing w:line="360" w:lineRule="auto"/>
        <w:ind w:left="0"/>
        <w:jc w:val="both"/>
        <w:textAlignment w:val="auto"/>
        <w:rPr>
          <w:rFonts w:hint="default" w:ascii="Times New Roman" w:hAnsi="Times New Roman" w:cs="Times New Roman"/>
          <w:b w:val="0"/>
          <w:bCs w:val="0"/>
          <w:color w:val="auto"/>
          <w:sz w:val="28"/>
          <w:szCs w:val="28"/>
          <w:lang w:val="en-US" w:eastAsia="zh-CN"/>
        </w:rPr>
      </w:pPr>
      <w:r>
        <w:rPr>
          <w:rFonts w:hint="eastAsia" w:cs="Times New Roman"/>
          <w:b w:val="0"/>
          <w:bCs w:val="0"/>
          <w:color w:val="FF0000"/>
          <w:sz w:val="28"/>
          <w:szCs w:val="28"/>
          <w:lang w:val="en-US" w:eastAsia="zh-CN"/>
        </w:rPr>
        <w:t>全文</w:t>
      </w:r>
      <w:r>
        <w:rPr>
          <w:rFonts w:hint="eastAsia" w:ascii="Times New Roman" w:hAnsi="Times New Roman" w:cs="Times New Roman"/>
          <w:b w:val="0"/>
          <w:bCs w:val="0"/>
          <w:color w:val="FF0000"/>
          <w:sz w:val="28"/>
          <w:szCs w:val="28"/>
          <w:lang w:val="en-US" w:eastAsia="zh-CN"/>
        </w:rPr>
        <w:t>中文字体统一宋体，西文字体统一Times New Roman</w:t>
      </w:r>
      <w:r>
        <w:rPr>
          <w:rFonts w:hint="eastAsia" w:cs="Times New Roman"/>
          <w:b w:val="0"/>
          <w:bCs w:val="0"/>
          <w:color w:val="FF0000"/>
          <w:sz w:val="28"/>
          <w:szCs w:val="28"/>
          <w:lang w:val="en-US" w:eastAsia="zh-CN"/>
        </w:rPr>
        <w:t>，</w:t>
      </w:r>
      <w:r>
        <w:rPr>
          <w:rFonts w:hint="eastAsia" w:ascii="Times New Roman" w:hAnsi="Times New Roman" w:cs="Times New Roman"/>
          <w:b w:val="0"/>
          <w:bCs w:val="0"/>
          <w:color w:val="FF0000"/>
          <w:sz w:val="28"/>
          <w:szCs w:val="28"/>
          <w:lang w:val="en-US" w:eastAsia="zh-CN"/>
        </w:rPr>
        <w:t>1.5倍行距（表格除外</w:t>
      </w:r>
      <w:r>
        <w:rPr>
          <w:rFonts w:hint="eastAsia" w:ascii="Times New Roman" w:hAnsi="Times New Roman" w:cs="Times New Roman"/>
          <w:b w:val="0"/>
          <w:bCs w:val="0"/>
          <w:color w:val="FF0000"/>
          <w:w w:val="90"/>
          <w:sz w:val="28"/>
          <w:szCs w:val="28"/>
          <w:lang w:val="en-US" w:eastAsia="zh-CN"/>
        </w:rPr>
        <w:t>）</w:t>
      </w:r>
      <w:r>
        <w:rPr>
          <w:rFonts w:hint="eastAsia" w:cs="Times New Roman"/>
          <w:b w:val="0"/>
          <w:bCs w:val="0"/>
          <w:color w:val="FF0000"/>
          <w:w w:val="90"/>
          <w:sz w:val="28"/>
          <w:szCs w:val="28"/>
          <w:lang w:val="en-US" w:eastAsia="zh-CN"/>
        </w:rPr>
        <w:t>，</w:t>
      </w:r>
      <w:r>
        <w:rPr>
          <w:rFonts w:hint="eastAsia" w:ascii="Times New Roman" w:hAnsi="Times New Roman" w:cs="Times New Roman"/>
          <w:b w:val="0"/>
          <w:bCs w:val="0"/>
          <w:color w:val="FF0000"/>
          <w:sz w:val="28"/>
          <w:szCs w:val="28"/>
          <w:lang w:val="en-US" w:eastAsia="zh-CN"/>
        </w:rPr>
        <w:t>表格采用三线表，图片分辨率不低于600像素/英寸</w:t>
      </w:r>
    </w:p>
    <w:p w14:paraId="583E0E43">
      <w:pPr>
        <w:keepNext w:val="0"/>
        <w:keepLines w:val="0"/>
        <w:pageBreakBefore w:val="0"/>
        <w:kinsoku/>
        <w:wordWrap/>
        <w:overflowPunct/>
        <w:topLinePunct w:val="0"/>
        <w:autoSpaceDE/>
        <w:autoSpaceDN/>
        <w:bidi w:val="0"/>
        <w:spacing w:line="360" w:lineRule="auto"/>
        <w:ind w:left="0"/>
        <w:jc w:val="center"/>
        <w:textAlignment w:val="auto"/>
        <w:rPr>
          <w:rFonts w:hint="eastAsia" w:ascii="Times New Roman" w:hAnsi="Times New Roman" w:cs="Times New Roman"/>
          <w:color w:val="auto"/>
          <w:szCs w:val="21"/>
          <w:lang w:val="en-US" w:eastAsia="zh-CN"/>
        </w:rPr>
      </w:pPr>
    </w:p>
    <w:p w14:paraId="27AAD539">
      <w:pPr>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rFonts w:hint="eastAsia" w:ascii="Times New Roman" w:hAnsi="Times New Roman" w:eastAsia="宋体" w:cs="宋体"/>
          <w:b/>
          <w:bCs w:val="0"/>
          <w:color w:val="auto"/>
          <w:sz w:val="32"/>
          <w:szCs w:val="32"/>
        </w:rPr>
      </w:pPr>
      <w:commentRangeStart w:id="0"/>
      <w:r>
        <w:rPr>
          <w:rFonts w:hint="eastAsia" w:ascii="Times New Roman" w:hAnsi="Times New Roman" w:eastAsia="宋体" w:cs="宋体"/>
          <w:b/>
          <w:bCs w:val="0"/>
          <w:color w:val="auto"/>
          <w:sz w:val="32"/>
          <w:szCs w:val="32"/>
        </w:rPr>
        <w:t>2000</w:t>
      </w:r>
      <w:r>
        <w:rPr>
          <w:rFonts w:hint="eastAsia" w:ascii="Times New Roman" w:hAnsi="Times New Roman" w:cs="宋体"/>
          <w:b/>
          <w:bCs w:val="0"/>
          <w:color w:val="auto"/>
          <w:sz w:val="32"/>
          <w:szCs w:val="32"/>
          <w:lang w:eastAsia="zh-CN"/>
        </w:rPr>
        <w:t>—</w:t>
      </w:r>
      <w:r>
        <w:rPr>
          <w:rFonts w:hint="eastAsia" w:ascii="Times New Roman" w:hAnsi="Times New Roman" w:eastAsia="宋体" w:cs="宋体"/>
          <w:b/>
          <w:bCs w:val="0"/>
          <w:color w:val="auto"/>
          <w:sz w:val="32"/>
          <w:szCs w:val="32"/>
        </w:rPr>
        <w:t>2018年云南省易门县植被指数时空动态</w:t>
      </w:r>
    </w:p>
    <w:p w14:paraId="2B57B767">
      <w:pPr>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color w:val="auto"/>
        </w:rPr>
      </w:pPr>
      <w:r>
        <w:rPr>
          <w:rFonts w:hint="eastAsia" w:ascii="Times New Roman" w:hAnsi="Times New Roman" w:eastAsia="宋体" w:cs="宋体"/>
          <w:b/>
          <w:bCs w:val="0"/>
          <w:color w:val="auto"/>
          <w:sz w:val="32"/>
          <w:szCs w:val="32"/>
        </w:rPr>
        <w:t>及影响因素分析</w:t>
      </w:r>
      <w:commentRangeEnd w:id="0"/>
      <w:r>
        <w:rPr>
          <w:color w:val="auto"/>
        </w:rPr>
        <w:commentReference w:id="0"/>
      </w:r>
    </w:p>
    <w:p w14:paraId="43C4B764">
      <w:pPr>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rFonts w:hint="eastAsia"/>
          <w:color w:val="auto"/>
          <w:sz w:val="21"/>
          <w:szCs w:val="21"/>
        </w:rPr>
      </w:pPr>
    </w:p>
    <w:p w14:paraId="2FD3D763">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jc w:val="center"/>
        <w:textAlignment w:val="auto"/>
        <w:outlineLvl w:val="9"/>
        <w:rPr>
          <w:rFonts w:hint="eastAsia" w:ascii="Times New Roman" w:hAnsi="Times New Roman" w:eastAsia="宋体" w:cs="宋体"/>
          <w:color w:val="auto"/>
          <w:sz w:val="21"/>
          <w:szCs w:val="21"/>
          <w:lang w:val="en-US" w:eastAsia="zh-CN"/>
        </w:rPr>
      </w:pPr>
      <w:commentRangeStart w:id="1"/>
      <w:r>
        <w:rPr>
          <w:rFonts w:hint="eastAsia" w:ascii="Times New Roman" w:hAnsi="Times New Roman" w:eastAsia="宋体" w:cs="宋体"/>
          <w:color w:val="auto"/>
          <w:sz w:val="21"/>
          <w:szCs w:val="21"/>
        </w:rPr>
        <w:t>李晓娜</w:t>
      </w:r>
      <w:commentRangeStart w:id="2"/>
      <w:r>
        <w:rPr>
          <w:rStyle w:val="14"/>
          <w:rFonts w:hint="eastAsia" w:ascii="Times New Roman" w:hAnsi="Times New Roman" w:eastAsia="宋体" w:cs="宋体"/>
          <w:color w:val="auto"/>
          <w:sz w:val="21"/>
          <w:szCs w:val="21"/>
        </w:rPr>
        <w:footnoteReference w:id="0"/>
      </w:r>
      <w:commentRangeEnd w:id="2"/>
      <w:r>
        <w:commentReference w:id="2"/>
      </w:r>
      <w:r>
        <w:rPr>
          <w:rFonts w:hint="eastAsia" w:ascii="Times New Roman" w:hAnsi="Times New Roman" w:eastAsia="宋体" w:cs="宋体"/>
          <w:color w:val="auto"/>
          <w:sz w:val="21"/>
          <w:szCs w:val="21"/>
        </w:rPr>
        <w:t>，邓中坚</w:t>
      </w:r>
      <w:r>
        <w:rPr>
          <w:rFonts w:hint="eastAsia" w:ascii="Times New Roman" w:hAnsi="Times New Roman" w:eastAsia="宋体" w:cs="宋体"/>
          <w:color w:val="auto"/>
          <w:sz w:val="21"/>
          <w:szCs w:val="21"/>
          <w:vertAlign w:val="superscript"/>
        </w:rPr>
        <w:t>2</w:t>
      </w:r>
      <w:r>
        <w:rPr>
          <w:rFonts w:hint="eastAsia" w:ascii="Times New Roman" w:hAnsi="Times New Roman" w:eastAsia="宋体" w:cs="宋体"/>
          <w:color w:val="auto"/>
          <w:sz w:val="21"/>
          <w:szCs w:val="21"/>
        </w:rPr>
        <w:t xml:space="preserve"> ，王秋华</w:t>
      </w:r>
      <w:r>
        <w:rPr>
          <w:rFonts w:hint="eastAsia" w:ascii="Times New Roman" w:hAnsi="Times New Roman" w:eastAsia="宋体" w:cs="宋体"/>
          <w:color w:val="auto"/>
          <w:sz w:val="21"/>
          <w:szCs w:val="21"/>
          <w:vertAlign w:val="superscript"/>
        </w:rPr>
        <w:t>3</w:t>
      </w:r>
      <w:r>
        <w:rPr>
          <w:rFonts w:hint="eastAsia" w:ascii="Times New Roman" w:hAnsi="Times New Roman" w:eastAsia="宋体" w:cs="宋体"/>
          <w:color w:val="auto"/>
          <w:sz w:val="21"/>
          <w:szCs w:val="21"/>
        </w:rPr>
        <w:t>，张卓亚</w:t>
      </w:r>
      <w:r>
        <w:rPr>
          <w:rFonts w:hint="eastAsia" w:ascii="Times New Roman" w:hAnsi="Times New Roman" w:eastAsia="宋体" w:cs="宋体"/>
          <w:color w:val="auto"/>
          <w:sz w:val="21"/>
          <w:szCs w:val="21"/>
          <w:vertAlign w:val="superscript"/>
        </w:rPr>
        <w:t>1</w:t>
      </w:r>
      <w:r>
        <w:rPr>
          <w:rFonts w:hint="eastAsia" w:ascii="Times New Roman" w:hAnsi="Times New Roman" w:eastAsia="宋体" w:cs="宋体"/>
          <w:color w:val="auto"/>
          <w:sz w:val="21"/>
          <w:szCs w:val="21"/>
        </w:rPr>
        <w:t>，王玉和</w:t>
      </w:r>
      <w:r>
        <w:rPr>
          <w:rFonts w:hint="eastAsia" w:ascii="Times New Roman" w:hAnsi="Times New Roman" w:eastAsia="宋体" w:cs="宋体"/>
          <w:color w:val="auto"/>
          <w:sz w:val="21"/>
          <w:szCs w:val="21"/>
          <w:vertAlign w:val="superscript"/>
        </w:rPr>
        <w:t>4</w:t>
      </w:r>
      <w:commentRangeEnd w:id="1"/>
      <w:r>
        <w:rPr>
          <w:color w:val="auto"/>
        </w:rPr>
        <w:commentReference w:id="1"/>
      </w:r>
    </w:p>
    <w:p w14:paraId="69F02B31">
      <w:pPr>
        <w:keepNext w:val="0"/>
        <w:keepLines w:val="0"/>
        <w:pageBreakBefore w:val="0"/>
        <w:numPr>
          <w:ilvl w:val="0"/>
          <w:numId w:val="0"/>
        </w:numPr>
        <w:kinsoku/>
        <w:wordWrap/>
        <w:overflowPunct/>
        <w:topLinePunct w:val="0"/>
        <w:autoSpaceDE/>
        <w:autoSpaceDN/>
        <w:bidi w:val="0"/>
        <w:adjustRightInd/>
        <w:snapToGrid w:val="0"/>
        <w:spacing w:line="360" w:lineRule="auto"/>
        <w:ind w:left="0" w:leftChars="0" w:right="0" w:rightChars="0"/>
        <w:jc w:val="both"/>
        <w:textAlignment w:val="auto"/>
        <w:outlineLvl w:val="9"/>
        <w:rPr>
          <w:color w:val="auto"/>
        </w:rPr>
      </w:pPr>
      <w:commentRangeStart w:id="3"/>
      <w:r>
        <w:rPr>
          <w:rFonts w:hint="eastAsia" w:asciiTheme="minorEastAsia" w:hAnsiTheme="minorEastAsia" w:eastAsiaTheme="minorEastAsia" w:cstheme="minorEastAsia"/>
          <w:color w:val="auto"/>
          <w:kern w:val="2"/>
          <w:sz w:val="21"/>
          <w:szCs w:val="21"/>
          <w:lang w:val="en-US" w:eastAsia="zh-CN" w:bidi="ar-SA"/>
        </w:rPr>
        <w:t>（</w:t>
      </w:r>
      <w:r>
        <w:rPr>
          <w:rFonts w:hint="default" w:ascii="Times New Roman" w:hAnsi="Times New Roman" w:cs="Times New Roman" w:eastAsiaTheme="minorEastAsia"/>
          <w:color w:val="auto"/>
          <w:kern w:val="2"/>
          <w:sz w:val="21"/>
          <w:szCs w:val="21"/>
          <w:lang w:val="en-US" w:eastAsia="zh-CN" w:bidi="ar-SA"/>
        </w:rPr>
        <w:t>1.</w:t>
      </w:r>
      <w:commentRangeStart w:id="4"/>
      <w:r>
        <w:rPr>
          <w:rFonts w:hint="eastAsia" w:ascii="宋体" w:hAnsi="宋体" w:eastAsia="宋体" w:cs="宋体"/>
          <w:color w:val="auto"/>
          <w:kern w:val="2"/>
          <w:sz w:val="21"/>
          <w:szCs w:val="21"/>
          <w:lang w:val="en-US" w:eastAsia="zh-CN" w:bidi="ar-SA"/>
        </w:rPr>
        <w:t xml:space="preserve"> </w:t>
      </w:r>
      <w:commentRangeEnd w:id="4"/>
      <w:r>
        <w:rPr>
          <w:color w:val="auto"/>
        </w:rPr>
        <w:commentReference w:id="4"/>
      </w:r>
      <w:r>
        <w:rPr>
          <w:rFonts w:hint="default" w:ascii="Times New Roman" w:hAnsi="Times New Roman" w:cs="Times New Roman" w:eastAsiaTheme="minorEastAsia"/>
          <w:color w:val="auto"/>
          <w:sz w:val="21"/>
          <w:szCs w:val="21"/>
        </w:rPr>
        <w:t>西南林业大学</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地理与生态旅游学院，国家林业和草原局西南生态文明研究中心，云南 昆明</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650224；2.</w:t>
      </w:r>
      <w:r>
        <w:rPr>
          <w:rFonts w:hint="eastAsia" w:ascii="宋体" w:hAnsi="宋体" w:eastAsia="宋体" w:cs="宋体"/>
          <w:color w:val="auto"/>
          <w:sz w:val="21"/>
          <w:szCs w:val="21"/>
        </w:rPr>
        <w:t xml:space="preserve"> </w:t>
      </w:r>
      <w:r>
        <w:rPr>
          <w:rFonts w:hint="default" w:ascii="Times New Roman" w:hAnsi="Times New Roman" w:cs="Times New Roman" w:eastAsiaTheme="minorEastAsia"/>
          <w:color w:val="auto"/>
          <w:sz w:val="21"/>
          <w:szCs w:val="21"/>
        </w:rPr>
        <w:t>西南林业大学生物多样性保护学院，云南</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昆明</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650224</w:t>
      </w:r>
      <w:r>
        <w:rPr>
          <w:rFonts w:hint="default"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rPr>
        <w:t>3.</w:t>
      </w:r>
      <w:r>
        <w:rPr>
          <w:rFonts w:hint="eastAsia" w:ascii="宋体" w:hAnsi="宋体" w:eastAsia="宋体" w:cs="宋体"/>
          <w:color w:val="auto"/>
          <w:sz w:val="21"/>
          <w:szCs w:val="21"/>
        </w:rPr>
        <w:t xml:space="preserve"> </w:t>
      </w:r>
      <w:r>
        <w:rPr>
          <w:rFonts w:hint="default" w:ascii="Times New Roman" w:hAnsi="Times New Roman" w:cs="Times New Roman" w:eastAsiaTheme="minorEastAsia"/>
          <w:color w:val="auto"/>
          <w:sz w:val="21"/>
          <w:szCs w:val="21"/>
        </w:rPr>
        <w:t>西南林业大学</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土木工程学院</w:t>
      </w:r>
      <w:r>
        <w:rPr>
          <w:rFonts w:hint="default"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rPr>
        <w:t>云南 昆明</w:t>
      </w:r>
      <w:r>
        <w:rPr>
          <w:rFonts w:hint="default"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rPr>
        <w:t>650224；4.</w:t>
      </w:r>
      <w:r>
        <w:rPr>
          <w:rFonts w:hint="eastAsia" w:ascii="宋体" w:hAnsi="宋体" w:eastAsia="宋体" w:cs="宋体"/>
          <w:color w:val="auto"/>
          <w:sz w:val="21"/>
          <w:szCs w:val="21"/>
          <w:lang w:val="en-US" w:eastAsia="zh-CN"/>
        </w:rPr>
        <w:t xml:space="preserve"> </w:t>
      </w:r>
      <w:r>
        <w:rPr>
          <w:rFonts w:hint="default" w:ascii="Times New Roman" w:hAnsi="Times New Roman" w:cs="Times New Roman" w:eastAsiaTheme="minorEastAsia"/>
          <w:color w:val="auto"/>
          <w:sz w:val="21"/>
          <w:szCs w:val="21"/>
        </w:rPr>
        <w:t>云南省林业调查规划院生态分院，云南 昆明 650002</w:t>
      </w:r>
      <w:r>
        <w:rPr>
          <w:rFonts w:hint="eastAsia" w:asciiTheme="minorEastAsia" w:hAnsiTheme="minorEastAsia" w:eastAsiaTheme="minorEastAsia" w:cstheme="minorEastAsia"/>
          <w:color w:val="auto"/>
          <w:sz w:val="21"/>
          <w:szCs w:val="21"/>
        </w:rPr>
        <w:t>）</w:t>
      </w:r>
      <w:commentRangeEnd w:id="3"/>
      <w:r>
        <w:rPr>
          <w:color w:val="auto"/>
        </w:rPr>
        <w:commentReference w:id="3"/>
      </w:r>
    </w:p>
    <w:p w14:paraId="08C91350">
      <w:pPr>
        <w:keepNext w:val="0"/>
        <w:keepLines w:val="0"/>
        <w:pageBreakBefore w:val="0"/>
        <w:numPr>
          <w:ilvl w:val="0"/>
          <w:numId w:val="0"/>
        </w:numPr>
        <w:kinsoku/>
        <w:wordWrap/>
        <w:overflowPunct/>
        <w:topLinePunct w:val="0"/>
        <w:autoSpaceDE/>
        <w:autoSpaceDN/>
        <w:bidi w:val="0"/>
        <w:adjustRightInd/>
        <w:snapToGrid w:val="0"/>
        <w:spacing w:line="360" w:lineRule="auto"/>
        <w:ind w:left="0" w:leftChars="0" w:right="0" w:rightChars="0"/>
        <w:jc w:val="both"/>
        <w:textAlignment w:val="auto"/>
        <w:outlineLvl w:val="9"/>
        <w:rPr>
          <w:rFonts w:hint="eastAsia"/>
          <w:color w:val="auto"/>
          <w:sz w:val="21"/>
          <w:szCs w:val="21"/>
        </w:rPr>
      </w:pPr>
    </w:p>
    <w:p w14:paraId="05F61A42">
      <w:pPr>
        <w:keepNext w:val="0"/>
        <w:keepLines w:val="0"/>
        <w:pageBreakBefore w:val="0"/>
        <w:widowControl w:val="0"/>
        <w:kinsoku/>
        <w:wordWrap/>
        <w:overflowPunct/>
        <w:topLinePunct w:val="0"/>
        <w:autoSpaceDE/>
        <w:autoSpaceDN/>
        <w:bidi w:val="0"/>
        <w:adjustRightInd/>
        <w:snapToGrid w:val="0"/>
        <w:spacing w:line="360" w:lineRule="auto"/>
        <w:ind w:left="0" w:right="0" w:rightChars="0"/>
        <w:jc w:val="both"/>
        <w:textAlignment w:val="auto"/>
        <w:outlineLvl w:val="9"/>
        <w:rPr>
          <w:rFonts w:hint="default" w:ascii="Times New Roman" w:hAnsi="Times New Roman" w:cs="Times New Roman" w:eastAsiaTheme="minorEastAsia"/>
          <w:b w:val="0"/>
          <w:bCs/>
          <w:color w:val="auto"/>
          <w:sz w:val="21"/>
          <w:szCs w:val="21"/>
        </w:rPr>
      </w:pPr>
      <w:commentRangeStart w:id="5"/>
      <w:commentRangeStart w:id="6"/>
      <w:r>
        <w:rPr>
          <w:rFonts w:hint="default" w:ascii="Times New Roman" w:hAnsi="Times New Roman" w:eastAsia="宋体" w:cs="Times New Roman"/>
          <w:b/>
          <w:color w:val="auto"/>
          <w:sz w:val="21"/>
          <w:szCs w:val="21"/>
        </w:rPr>
        <w:t>摘要：</w:t>
      </w:r>
      <w:commentRangeEnd w:id="5"/>
      <w:r>
        <w:rPr>
          <w:color w:val="auto"/>
        </w:rPr>
        <w:commentReference w:id="5"/>
      </w:r>
      <w:r>
        <w:rPr>
          <w:rFonts w:hint="default" w:ascii="Times New Roman" w:hAnsi="Times New Roman" w:cs="Times New Roman" w:eastAsiaTheme="minorEastAsia"/>
          <w:b w:val="0"/>
          <w:bCs/>
          <w:color w:val="auto"/>
          <w:sz w:val="21"/>
          <w:szCs w:val="21"/>
        </w:rPr>
        <w:t>基于Landsat系列数据</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将RS与GIS相结合</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分析易门县2000</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2018年间归一化植被指数</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NDVI</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时空变化特征</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并探讨其影响因素</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结果表明</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2000</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2018年间研究区NDVI值随时间呈波动变化趋势</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lang w:val="en-US" w:eastAsia="zh-CN"/>
        </w:rPr>
        <w:t>0.547</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lang w:val="en-US" w:eastAsia="zh-CN"/>
        </w:rPr>
        <w:t>~</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lang w:val="en-US" w:eastAsia="zh-CN"/>
        </w:rPr>
        <w:t>0.614</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2000</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2009年呈增长趋势</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2010年陡降</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2010</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2018年持续增长</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高植被覆盖度</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0.500</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NDVI值&lt;</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0.700</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区域占优势</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占比33.83%</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46.41%</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县域内NDVI值与地形因子显著相关</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P</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&lt;</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0.05</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随海拔的升高而显著增长</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随坡度变化呈先增长后降低的趋势</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不同坡向间NDVI值差异显著</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P</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&lt;</w:t>
      </w:r>
      <w:r>
        <w:rPr>
          <w:rFonts w:hint="eastAsia" w:cs="Times New Roman" w:eastAsiaTheme="minorEastAsia"/>
          <w:b w:val="0"/>
          <w:bCs/>
          <w:color w:val="auto"/>
          <w:sz w:val="21"/>
          <w:szCs w:val="21"/>
          <w:lang w:val="en-US" w:eastAsia="zh-CN"/>
        </w:rPr>
        <w:t xml:space="preserve"> </w:t>
      </w:r>
      <w:r>
        <w:rPr>
          <w:rFonts w:hint="default" w:ascii="Times New Roman" w:hAnsi="Times New Roman" w:cs="Times New Roman" w:eastAsiaTheme="minorEastAsia"/>
          <w:b w:val="0"/>
          <w:bCs/>
          <w:color w:val="auto"/>
          <w:sz w:val="21"/>
          <w:szCs w:val="21"/>
        </w:rPr>
        <w:t>0.05</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阴坡最大</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阳坡最小</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各乡镇间NDVI值差异较大</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十街彝族乡NDVI值最小为0.517</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六街街道最大为0.629</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NDVI的年际变化受人类活动和气候等因素的共同影响</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其与人口数量相关性最大</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其次是GDP</w:t>
      </w:r>
      <w:r>
        <w:rPr>
          <w:rFonts w:hint="default" w:ascii="Times New Roman" w:hAnsi="Times New Roman" w:cs="Times New Roman" w:eastAsiaTheme="minorEastAsia"/>
          <w:b w:val="0"/>
          <w:bCs/>
          <w:color w:val="auto"/>
          <w:sz w:val="21"/>
          <w:szCs w:val="21"/>
          <w:lang w:eastAsia="zh-CN"/>
        </w:rPr>
        <w:t>，</w:t>
      </w:r>
      <w:r>
        <w:rPr>
          <w:rFonts w:hint="default" w:ascii="Times New Roman" w:hAnsi="Times New Roman" w:cs="Times New Roman" w:eastAsiaTheme="minorEastAsia"/>
          <w:b w:val="0"/>
          <w:bCs/>
          <w:color w:val="auto"/>
          <w:sz w:val="21"/>
          <w:szCs w:val="21"/>
        </w:rPr>
        <w:t>年降水量影响最小。</w:t>
      </w:r>
      <w:commentRangeEnd w:id="6"/>
      <w:r>
        <w:rPr>
          <w:color w:val="auto"/>
        </w:rPr>
        <w:commentReference w:id="6"/>
      </w:r>
    </w:p>
    <w:p w14:paraId="3EEDDB41">
      <w:pPr>
        <w:keepNext w:val="0"/>
        <w:keepLines w:val="0"/>
        <w:pageBreakBefore w:val="0"/>
        <w:kinsoku/>
        <w:wordWrap/>
        <w:overflowPunct/>
        <w:topLinePunct w:val="0"/>
        <w:autoSpaceDE/>
        <w:autoSpaceDN/>
        <w:bidi w:val="0"/>
        <w:adjustRightInd/>
        <w:snapToGrid w:val="0"/>
        <w:spacing w:line="360" w:lineRule="auto"/>
        <w:ind w:left="0" w:right="0" w:rightChars="0"/>
        <w:textAlignment w:val="auto"/>
        <w:outlineLvl w:val="9"/>
        <w:rPr>
          <w:rFonts w:hint="default" w:ascii="Times New Roman" w:hAnsi="Times New Roman" w:eastAsia="宋体" w:cs="Times New Roman"/>
          <w:color w:val="auto"/>
          <w:sz w:val="21"/>
          <w:szCs w:val="21"/>
        </w:rPr>
      </w:pPr>
      <w:commentRangeStart w:id="7"/>
      <w:r>
        <w:rPr>
          <w:rFonts w:hint="default" w:ascii="Times New Roman" w:hAnsi="Times New Roman" w:eastAsia="宋体" w:cs="Times New Roman"/>
          <w:b/>
          <w:color w:val="auto"/>
          <w:sz w:val="21"/>
          <w:szCs w:val="21"/>
        </w:rPr>
        <w:t>关键词：</w:t>
      </w:r>
      <w:commentRangeEnd w:id="7"/>
      <w:r>
        <w:rPr>
          <w:color w:val="auto"/>
        </w:rPr>
        <w:commentReference w:id="7"/>
      </w:r>
      <w:r>
        <w:rPr>
          <w:rFonts w:hint="default" w:ascii="Times New Roman" w:hAnsi="Times New Roman" w:eastAsia="宋体" w:cs="Times New Roman"/>
          <w:color w:val="auto"/>
          <w:sz w:val="21"/>
          <w:szCs w:val="21"/>
        </w:rPr>
        <w:t>NDVI；时空动态；影响因素；易门县</w:t>
      </w:r>
    </w:p>
    <w:p w14:paraId="690BE373">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b w:val="0"/>
          <w:bCs/>
          <w:color w:val="auto"/>
          <w:sz w:val="21"/>
          <w:szCs w:val="15"/>
        </w:rPr>
      </w:pPr>
    </w:p>
    <w:p w14:paraId="4B3CB9FB">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b w:val="0"/>
          <w:bCs/>
          <w:color w:val="auto"/>
          <w:sz w:val="32"/>
          <w:szCs w:val="32"/>
        </w:rPr>
      </w:pPr>
      <w:commentRangeStart w:id="8"/>
      <w:r>
        <w:rPr>
          <w:rFonts w:hint="eastAsia" w:ascii="Times New Roman" w:hAnsi="Times New Roman" w:eastAsia="宋体" w:cs="宋体"/>
          <w:b/>
          <w:bCs w:val="0"/>
          <w:color w:val="auto"/>
          <w:sz w:val="32"/>
          <w:szCs w:val="32"/>
        </w:rPr>
        <w:t xml:space="preserve">Spatiotemporal Dynamic Changes and Impact Factors of Vegetation Index in Yimen County of Yunnan Province from </w:t>
      </w:r>
      <w:bookmarkStart w:id="0" w:name="_GoBack"/>
      <w:bookmarkEnd w:id="0"/>
      <w:r>
        <w:rPr>
          <w:rFonts w:hint="eastAsia" w:ascii="Times New Roman" w:hAnsi="Times New Roman" w:eastAsia="宋体" w:cs="宋体"/>
          <w:b/>
          <w:bCs w:val="0"/>
          <w:color w:val="auto"/>
          <w:sz w:val="32"/>
          <w:szCs w:val="32"/>
        </w:rPr>
        <w:t>2000 to 2018</w:t>
      </w:r>
      <w:commentRangeEnd w:id="8"/>
      <w:r>
        <w:rPr>
          <w:color w:val="auto"/>
        </w:rPr>
        <w:commentReference w:id="8"/>
      </w:r>
    </w:p>
    <w:p w14:paraId="16187380">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b w:val="0"/>
          <w:bCs/>
          <w:color w:val="auto"/>
          <w:sz w:val="21"/>
          <w:szCs w:val="15"/>
          <w:lang w:val="en-US" w:eastAsia="zh-CN"/>
        </w:rPr>
      </w:pPr>
      <w:r>
        <w:rPr>
          <w:rFonts w:hint="eastAsia" w:ascii="Times New Roman" w:hAnsi="Times New Roman" w:eastAsia="宋体" w:cs="宋体"/>
          <w:b w:val="0"/>
          <w:bCs/>
          <w:color w:val="auto"/>
          <w:sz w:val="21"/>
          <w:szCs w:val="15"/>
        </w:rPr>
        <w:t>LI Xiaona</w:t>
      </w:r>
      <w:r>
        <w:rPr>
          <w:rFonts w:hint="eastAsia" w:ascii="Times New Roman" w:hAnsi="Times New Roman" w:eastAsia="宋体" w:cs="宋体"/>
          <w:b w:val="0"/>
          <w:bCs/>
          <w:color w:val="auto"/>
          <w:sz w:val="21"/>
          <w:szCs w:val="15"/>
          <w:vertAlign w:val="superscript"/>
        </w:rPr>
        <w:t>1</w:t>
      </w:r>
      <w:r>
        <w:rPr>
          <w:rFonts w:hint="eastAsia" w:cs="宋体"/>
          <w:b w:val="0"/>
          <w:bCs/>
          <w:color w:val="auto"/>
          <w:sz w:val="21"/>
          <w:szCs w:val="15"/>
          <w:lang w:eastAsia="zh-CN"/>
        </w:rPr>
        <w:t>，</w:t>
      </w:r>
      <w:r>
        <w:rPr>
          <w:rFonts w:hint="eastAsia" w:ascii="Times New Roman" w:hAnsi="Times New Roman" w:eastAsia="宋体" w:cs="宋体"/>
          <w:b w:val="0"/>
          <w:bCs/>
          <w:color w:val="auto"/>
          <w:sz w:val="21"/>
          <w:szCs w:val="15"/>
        </w:rPr>
        <w:t>DEN</w:t>
      </w:r>
      <w:r>
        <w:rPr>
          <w:rFonts w:hint="eastAsia" w:cs="宋体"/>
          <w:b w:val="0"/>
          <w:bCs/>
          <w:color w:val="auto"/>
          <w:sz w:val="21"/>
          <w:szCs w:val="15"/>
          <w:lang w:val="en-US" w:eastAsia="zh-CN"/>
        </w:rPr>
        <w:t>G</w:t>
      </w:r>
      <w:r>
        <w:rPr>
          <w:rFonts w:hint="eastAsia" w:ascii="Times New Roman" w:hAnsi="Times New Roman" w:eastAsia="宋体" w:cs="宋体"/>
          <w:b w:val="0"/>
          <w:bCs/>
          <w:color w:val="auto"/>
          <w:sz w:val="21"/>
          <w:szCs w:val="15"/>
        </w:rPr>
        <w:t xml:space="preserve"> Zhongjian</w:t>
      </w:r>
      <w:r>
        <w:rPr>
          <w:rFonts w:hint="eastAsia" w:ascii="Times New Roman" w:hAnsi="Times New Roman" w:eastAsia="宋体" w:cs="宋体"/>
          <w:b w:val="0"/>
          <w:bCs/>
          <w:color w:val="auto"/>
          <w:sz w:val="21"/>
          <w:szCs w:val="15"/>
          <w:vertAlign w:val="superscript"/>
        </w:rPr>
        <w:t>2</w:t>
      </w:r>
      <w:r>
        <w:rPr>
          <w:rFonts w:hint="eastAsia" w:cs="宋体"/>
          <w:b w:val="0"/>
          <w:bCs/>
          <w:color w:val="auto"/>
          <w:sz w:val="21"/>
          <w:szCs w:val="15"/>
          <w:lang w:eastAsia="zh-CN"/>
        </w:rPr>
        <w:t>，</w:t>
      </w:r>
      <w:r>
        <w:rPr>
          <w:rFonts w:hint="eastAsia" w:ascii="Times New Roman" w:hAnsi="Times New Roman" w:eastAsia="宋体" w:cs="宋体"/>
          <w:b w:val="0"/>
          <w:bCs/>
          <w:color w:val="auto"/>
          <w:sz w:val="21"/>
          <w:szCs w:val="15"/>
        </w:rPr>
        <w:t>WANG Qiuhua</w:t>
      </w:r>
      <w:r>
        <w:rPr>
          <w:rFonts w:hint="eastAsia" w:ascii="Times New Roman" w:hAnsi="Times New Roman" w:eastAsia="宋体" w:cs="宋体"/>
          <w:b w:val="0"/>
          <w:bCs/>
          <w:color w:val="auto"/>
          <w:sz w:val="21"/>
          <w:szCs w:val="15"/>
          <w:vertAlign w:val="superscript"/>
        </w:rPr>
        <w:t>3</w:t>
      </w:r>
      <w:r>
        <w:rPr>
          <w:rFonts w:hint="eastAsia" w:cs="宋体"/>
          <w:b w:val="0"/>
          <w:bCs/>
          <w:color w:val="auto"/>
          <w:sz w:val="21"/>
          <w:szCs w:val="15"/>
          <w:lang w:eastAsia="zh-CN"/>
        </w:rPr>
        <w:t>，</w:t>
      </w:r>
      <w:r>
        <w:rPr>
          <w:rFonts w:hint="eastAsia" w:ascii="Times New Roman" w:hAnsi="Times New Roman" w:eastAsia="宋体" w:cs="宋体"/>
          <w:b w:val="0"/>
          <w:bCs/>
          <w:color w:val="auto"/>
          <w:sz w:val="21"/>
          <w:szCs w:val="15"/>
        </w:rPr>
        <w:t>ZHANG Zhuoya</w:t>
      </w:r>
      <w:r>
        <w:rPr>
          <w:rFonts w:hint="eastAsia" w:ascii="Times New Roman" w:hAnsi="Times New Roman" w:eastAsia="宋体" w:cs="宋体"/>
          <w:b w:val="0"/>
          <w:bCs/>
          <w:color w:val="auto"/>
          <w:sz w:val="21"/>
          <w:szCs w:val="15"/>
          <w:vertAlign w:val="superscript"/>
        </w:rPr>
        <w:t>1</w:t>
      </w:r>
      <w:r>
        <w:rPr>
          <w:rFonts w:hint="eastAsia" w:cs="宋体"/>
          <w:b w:val="0"/>
          <w:bCs/>
          <w:color w:val="auto"/>
          <w:sz w:val="21"/>
          <w:szCs w:val="15"/>
          <w:lang w:eastAsia="zh-CN"/>
        </w:rPr>
        <w:t>，</w:t>
      </w:r>
      <w:r>
        <w:rPr>
          <w:rFonts w:hint="eastAsia" w:ascii="Times New Roman" w:hAnsi="Times New Roman" w:eastAsia="宋体" w:cs="宋体"/>
          <w:b w:val="0"/>
          <w:bCs/>
          <w:color w:val="auto"/>
          <w:sz w:val="21"/>
          <w:szCs w:val="15"/>
        </w:rPr>
        <w:t>WANG Yuhe</w:t>
      </w:r>
      <w:r>
        <w:rPr>
          <w:rFonts w:hint="eastAsia" w:ascii="Times New Roman" w:hAnsi="Times New Roman" w:eastAsia="宋体" w:cs="宋体"/>
          <w:b w:val="0"/>
          <w:bCs/>
          <w:color w:val="auto"/>
          <w:sz w:val="21"/>
          <w:szCs w:val="15"/>
          <w:vertAlign w:val="superscript"/>
        </w:rPr>
        <w:t>4</w:t>
      </w:r>
    </w:p>
    <w:p w14:paraId="5F0FD048">
      <w:pPr>
        <w:keepNext w:val="0"/>
        <w:keepLines w:val="0"/>
        <w:pageBreakBefore w:val="0"/>
        <w:numPr>
          <w:ilvl w:val="0"/>
          <w:numId w:val="0"/>
        </w:numPr>
        <w:kinsoku/>
        <w:wordWrap/>
        <w:overflowPunct/>
        <w:topLinePunct w:val="0"/>
        <w:autoSpaceDE/>
        <w:autoSpaceDN/>
        <w:bidi w:val="0"/>
        <w:adjustRightInd/>
        <w:snapToGrid w:val="0"/>
        <w:spacing w:line="360" w:lineRule="auto"/>
        <w:ind w:left="0" w:leftChars="0" w:right="0" w:rightChars="0"/>
        <w:jc w:val="both"/>
        <w:textAlignment w:val="auto"/>
        <w:outlineLvl w:val="9"/>
        <w:rPr>
          <w:rFonts w:hint="eastAsia" w:ascii="Times New Roman" w:hAnsi="Times New Roman" w:eastAsia="宋体" w:cs="宋体"/>
          <w:b w:val="0"/>
          <w:bCs/>
          <w:color w:val="auto"/>
          <w:sz w:val="21"/>
          <w:szCs w:val="15"/>
        </w:rPr>
      </w:pPr>
      <w:commentRangeStart w:id="9"/>
      <w:r>
        <w:rPr>
          <w:rFonts w:hint="eastAsia" w:ascii="Times New Roman" w:hAnsi="Times New Roman" w:eastAsia="宋体" w:cs="宋体"/>
          <w:b w:val="0"/>
          <w:bCs/>
          <w:color w:val="auto"/>
          <w:kern w:val="2"/>
          <w:sz w:val="21"/>
          <w:szCs w:val="15"/>
          <w:lang w:val="en-US" w:eastAsia="zh-CN" w:bidi="ar-SA"/>
        </w:rPr>
        <w:t>(1.</w:t>
      </w:r>
      <w:commentRangeStart w:id="10"/>
      <w:r>
        <w:rPr>
          <w:rFonts w:hint="eastAsia" w:cs="宋体"/>
          <w:b w:val="0"/>
          <w:bCs/>
          <w:color w:val="auto"/>
          <w:sz w:val="21"/>
          <w:szCs w:val="15"/>
          <w:lang w:val="en-US" w:eastAsia="zh-CN"/>
        </w:rPr>
        <w:t xml:space="preserve"> </w:t>
      </w:r>
      <w:commentRangeEnd w:id="10"/>
      <w:r>
        <w:rPr>
          <w:color w:val="auto"/>
        </w:rPr>
        <w:commentReference w:id="10"/>
      </w:r>
      <w:r>
        <w:rPr>
          <w:rFonts w:hint="eastAsia" w:ascii="Times New Roman" w:hAnsi="Times New Roman" w:eastAsia="宋体" w:cs="宋体"/>
          <w:b w:val="0"/>
          <w:bCs/>
          <w:color w:val="auto"/>
          <w:sz w:val="21"/>
          <w:szCs w:val="15"/>
        </w:rPr>
        <w:t>College of Geography and Ecotourism, Southwest Forestry University, Southwest Research Center for Eco-civilization,</w:t>
      </w:r>
      <w:r>
        <w:rPr>
          <w:rFonts w:hint="eastAsia" w:cs="宋体"/>
          <w:b w:val="0"/>
          <w:bCs/>
          <w:color w:val="auto"/>
          <w:sz w:val="21"/>
          <w:szCs w:val="15"/>
          <w:lang w:val="en-US" w:eastAsia="zh-CN"/>
        </w:rPr>
        <w:t xml:space="preserve"> </w:t>
      </w:r>
      <w:r>
        <w:rPr>
          <w:rFonts w:hint="eastAsia" w:ascii="Times New Roman" w:hAnsi="Times New Roman" w:eastAsia="宋体" w:cs="宋体"/>
          <w:b w:val="0"/>
          <w:bCs/>
          <w:color w:val="auto"/>
          <w:sz w:val="21"/>
          <w:szCs w:val="15"/>
        </w:rPr>
        <w:t>National Forestry and Grassland Administration, Kunming 650224, China; 2. College of Biodiversity Conservation,</w:t>
      </w:r>
      <w:r>
        <w:rPr>
          <w:rFonts w:hint="eastAsia" w:cs="宋体"/>
          <w:b w:val="0"/>
          <w:bCs/>
          <w:color w:val="auto"/>
          <w:sz w:val="21"/>
          <w:szCs w:val="15"/>
          <w:lang w:val="en-US" w:eastAsia="zh-CN"/>
        </w:rPr>
        <w:t xml:space="preserve"> </w:t>
      </w:r>
      <w:r>
        <w:rPr>
          <w:rFonts w:hint="eastAsia" w:ascii="Times New Roman" w:hAnsi="Times New Roman" w:eastAsia="宋体" w:cs="宋体"/>
          <w:b w:val="0"/>
          <w:bCs/>
          <w:color w:val="auto"/>
          <w:sz w:val="21"/>
          <w:szCs w:val="15"/>
        </w:rPr>
        <w:t>Southwest Forestry University, Kunming 650224, China; 3. College of Civil Engineering, Southwest Forestry University,</w:t>
      </w:r>
      <w:r>
        <w:rPr>
          <w:rFonts w:hint="eastAsia" w:cs="宋体"/>
          <w:b w:val="0"/>
          <w:bCs/>
          <w:color w:val="auto"/>
          <w:sz w:val="21"/>
          <w:szCs w:val="15"/>
          <w:lang w:val="en-US" w:eastAsia="zh-CN"/>
        </w:rPr>
        <w:t xml:space="preserve"> </w:t>
      </w:r>
      <w:r>
        <w:rPr>
          <w:rFonts w:hint="eastAsia" w:ascii="Times New Roman" w:hAnsi="Times New Roman" w:eastAsia="宋体" w:cs="宋体"/>
          <w:b w:val="0"/>
          <w:bCs/>
          <w:color w:val="auto"/>
          <w:sz w:val="21"/>
          <w:szCs w:val="15"/>
        </w:rPr>
        <w:t>Kunming 650224, China; 4. Ecology Branch, Yunnan Institute of Forest Inventory and Planning, Kunming 650002, China)</w:t>
      </w:r>
    </w:p>
    <w:p w14:paraId="5CC7330B">
      <w:pPr>
        <w:keepNext w:val="0"/>
        <w:keepLines w:val="0"/>
        <w:pageBreakBefore w:val="0"/>
        <w:kinsoku/>
        <w:wordWrap/>
        <w:overflowPunct/>
        <w:topLinePunct w:val="0"/>
        <w:autoSpaceDE/>
        <w:autoSpaceDN/>
        <w:bidi w:val="0"/>
        <w:adjustRightInd/>
        <w:snapToGrid w:val="0"/>
        <w:spacing w:line="360" w:lineRule="auto"/>
        <w:ind w:right="0" w:rightChars="0"/>
        <w:jc w:val="both"/>
        <w:textAlignment w:val="auto"/>
        <w:outlineLvl w:val="9"/>
        <w:rPr>
          <w:rFonts w:hint="default" w:ascii="Times New Roman" w:hAnsi="Times New Roman" w:cs="Times New Roman"/>
          <w:b/>
          <w:bCs/>
          <w:color w:val="auto"/>
          <w:spacing w:val="-14"/>
          <w:sz w:val="21"/>
          <w:szCs w:val="21"/>
        </w:rPr>
      </w:pPr>
    </w:p>
    <w:p w14:paraId="62C5DBCF">
      <w:pPr>
        <w:keepNext w:val="0"/>
        <w:keepLines w:val="0"/>
        <w:pageBreakBefore w:val="0"/>
        <w:kinsoku/>
        <w:wordWrap/>
        <w:overflowPunct/>
        <w:topLinePunct w:val="0"/>
        <w:autoSpaceDE/>
        <w:autoSpaceDN/>
        <w:bidi w:val="0"/>
        <w:adjustRightInd/>
        <w:snapToGrid w:val="0"/>
        <w:spacing w:line="360" w:lineRule="auto"/>
        <w:ind w:right="0" w:rightChars="0"/>
        <w:jc w:val="both"/>
        <w:textAlignment w:val="auto"/>
        <w:outlineLvl w:val="9"/>
        <w:rPr>
          <w:color w:val="auto"/>
          <w:sz w:val="21"/>
          <w:szCs w:val="21"/>
        </w:rPr>
      </w:pPr>
      <w:r>
        <w:rPr>
          <w:rFonts w:hint="default" w:ascii="Times New Roman" w:hAnsi="Times New Roman" w:cs="Times New Roman"/>
          <w:b/>
          <w:bCs/>
          <w:color w:val="auto"/>
          <w:spacing w:val="-14"/>
          <w:w w:val="100"/>
          <w:sz w:val="21"/>
          <w:szCs w:val="21"/>
        </w:rPr>
        <w:t>Abstract:</w:t>
      </w:r>
      <w:r>
        <w:rPr>
          <w:rFonts w:hint="default" w:ascii="Times New Roman" w:hAnsi="Times New Roman" w:cs="Times New Roman"/>
          <w:color w:val="auto"/>
          <w:spacing w:val="21"/>
          <w:w w:val="100"/>
          <w:sz w:val="21"/>
          <w:szCs w:val="21"/>
        </w:rPr>
        <w:t xml:space="preserve"> </w:t>
      </w:r>
      <w:r>
        <w:rPr>
          <w:rFonts w:hint="default" w:ascii="Times New Roman" w:hAnsi="Times New Roman" w:cs="Times New Roman"/>
          <w:color w:val="auto"/>
          <w:spacing w:val="-14"/>
          <w:w w:val="100"/>
          <w:sz w:val="21"/>
          <w:szCs w:val="21"/>
        </w:rPr>
        <w:t>Based</w:t>
      </w:r>
      <w:r>
        <w:rPr>
          <w:rFonts w:hint="default" w:ascii="Times New Roman" w:hAnsi="Times New Roman" w:cs="Times New Roman"/>
          <w:color w:val="auto"/>
          <w:spacing w:val="36"/>
          <w:w w:val="100"/>
          <w:sz w:val="21"/>
          <w:szCs w:val="21"/>
        </w:rPr>
        <w:t xml:space="preserve"> </w:t>
      </w:r>
      <w:r>
        <w:rPr>
          <w:rFonts w:hint="default" w:ascii="Times New Roman" w:hAnsi="Times New Roman" w:cs="Times New Roman"/>
          <w:color w:val="auto"/>
          <w:spacing w:val="-14"/>
          <w:w w:val="100"/>
          <w:sz w:val="21"/>
          <w:szCs w:val="21"/>
        </w:rPr>
        <w:t>on the Landsat data, RS and GIS were used to analyze the spatiotemporal var</w:t>
      </w:r>
      <w:r>
        <w:rPr>
          <w:rFonts w:hint="default" w:ascii="Times New Roman" w:hAnsi="Times New Roman" w:cs="Times New Roman"/>
          <w:color w:val="auto"/>
          <w:spacing w:val="-15"/>
          <w:w w:val="100"/>
          <w:sz w:val="21"/>
          <w:szCs w:val="21"/>
        </w:rPr>
        <w:t>iation</w:t>
      </w:r>
      <w:r>
        <w:rPr>
          <w:rFonts w:hint="default" w:ascii="Times New Roman" w:hAnsi="Times New Roman" w:cs="Times New Roman"/>
          <w:color w:val="auto"/>
          <w:w w:val="100"/>
          <w:sz w:val="21"/>
          <w:szCs w:val="21"/>
        </w:rPr>
        <w:t xml:space="preserve"> </w:t>
      </w:r>
      <w:r>
        <w:rPr>
          <w:rFonts w:hint="default" w:ascii="Times New Roman" w:hAnsi="Times New Roman" w:cs="Times New Roman"/>
          <w:color w:val="auto"/>
          <w:spacing w:val="-16"/>
          <w:w w:val="100"/>
          <w:sz w:val="21"/>
          <w:szCs w:val="21"/>
        </w:rPr>
        <w:t>characteristics</w:t>
      </w:r>
      <w:r>
        <w:rPr>
          <w:rFonts w:hint="default" w:ascii="Times New Roman" w:hAnsi="Times New Roman" w:cs="Times New Roman"/>
          <w:color w:val="auto"/>
          <w:spacing w:val="21"/>
          <w:w w:val="100"/>
          <w:sz w:val="21"/>
          <w:szCs w:val="21"/>
        </w:rPr>
        <w:t xml:space="preserve"> </w:t>
      </w:r>
      <w:r>
        <w:rPr>
          <w:rFonts w:hint="default" w:ascii="Times New Roman" w:hAnsi="Times New Roman" w:cs="Times New Roman"/>
          <w:color w:val="auto"/>
          <w:spacing w:val="-16"/>
          <w:w w:val="100"/>
          <w:sz w:val="21"/>
          <w:szCs w:val="21"/>
        </w:rPr>
        <w:t>of</w:t>
      </w:r>
      <w:r>
        <w:rPr>
          <w:rFonts w:hint="default" w:ascii="Times New Roman" w:hAnsi="Times New Roman" w:cs="Times New Roman"/>
          <w:color w:val="auto"/>
          <w:spacing w:val="8"/>
          <w:w w:val="100"/>
          <w:sz w:val="21"/>
          <w:szCs w:val="21"/>
        </w:rPr>
        <w:t xml:space="preserve"> </w:t>
      </w:r>
      <w:r>
        <w:rPr>
          <w:rFonts w:hint="default" w:ascii="Times New Roman" w:hAnsi="Times New Roman" w:cs="Times New Roman"/>
          <w:color w:val="auto"/>
          <w:spacing w:val="-16"/>
          <w:w w:val="100"/>
          <w:sz w:val="21"/>
          <w:szCs w:val="21"/>
        </w:rPr>
        <w:t>the</w:t>
      </w:r>
      <w:r>
        <w:rPr>
          <w:rFonts w:hint="default" w:ascii="Times New Roman" w:hAnsi="Times New Roman" w:cs="Times New Roman"/>
          <w:color w:val="auto"/>
          <w:spacing w:val="22"/>
          <w:w w:val="100"/>
          <w:sz w:val="21"/>
          <w:szCs w:val="21"/>
        </w:rPr>
        <w:t xml:space="preserve"> </w:t>
      </w:r>
      <w:r>
        <w:rPr>
          <w:rFonts w:hint="default" w:ascii="Times New Roman" w:hAnsi="Times New Roman" w:cs="Times New Roman"/>
          <w:color w:val="auto"/>
          <w:spacing w:val="-16"/>
          <w:w w:val="100"/>
          <w:sz w:val="21"/>
          <w:szCs w:val="21"/>
        </w:rPr>
        <w:t>normalized</w:t>
      </w:r>
      <w:r>
        <w:rPr>
          <w:rFonts w:hint="default" w:ascii="Times New Roman" w:hAnsi="Times New Roman" w:cs="Times New Roman"/>
          <w:color w:val="auto"/>
          <w:spacing w:val="20"/>
          <w:w w:val="100"/>
          <w:sz w:val="21"/>
          <w:szCs w:val="21"/>
        </w:rPr>
        <w:t xml:space="preserve"> </w:t>
      </w:r>
      <w:r>
        <w:rPr>
          <w:rFonts w:hint="default" w:ascii="Times New Roman" w:hAnsi="Times New Roman" w:cs="Times New Roman"/>
          <w:color w:val="auto"/>
          <w:spacing w:val="-16"/>
          <w:w w:val="100"/>
          <w:sz w:val="21"/>
          <w:szCs w:val="21"/>
        </w:rPr>
        <w:t>vegetation</w:t>
      </w:r>
      <w:r>
        <w:rPr>
          <w:rFonts w:hint="default" w:ascii="Times New Roman" w:hAnsi="Times New Roman" w:cs="Times New Roman"/>
          <w:color w:val="auto"/>
          <w:spacing w:val="23"/>
          <w:w w:val="100"/>
          <w:sz w:val="21"/>
          <w:szCs w:val="21"/>
        </w:rPr>
        <w:t xml:space="preserve"> </w:t>
      </w:r>
      <w:r>
        <w:rPr>
          <w:rFonts w:hint="default" w:ascii="Times New Roman" w:hAnsi="Times New Roman" w:cs="Times New Roman"/>
          <w:color w:val="auto"/>
          <w:spacing w:val="-16"/>
          <w:w w:val="100"/>
          <w:sz w:val="21"/>
          <w:szCs w:val="21"/>
        </w:rPr>
        <w:t>index (NDVI)</w:t>
      </w:r>
      <w:r>
        <w:rPr>
          <w:rFonts w:hint="default" w:ascii="Times New Roman" w:hAnsi="Times New Roman" w:cs="Times New Roman"/>
          <w:color w:val="auto"/>
          <w:spacing w:val="39"/>
          <w:w w:val="100"/>
          <w:sz w:val="21"/>
          <w:szCs w:val="21"/>
        </w:rPr>
        <w:t xml:space="preserve"> </w:t>
      </w:r>
      <w:r>
        <w:rPr>
          <w:rFonts w:hint="default" w:ascii="Times New Roman" w:hAnsi="Times New Roman" w:cs="Times New Roman"/>
          <w:color w:val="auto"/>
          <w:spacing w:val="-16"/>
          <w:w w:val="100"/>
          <w:sz w:val="21"/>
          <w:szCs w:val="21"/>
        </w:rPr>
        <w:t>in</w:t>
      </w:r>
      <w:r>
        <w:rPr>
          <w:rFonts w:hint="default" w:ascii="Times New Roman" w:hAnsi="Times New Roman" w:cs="Times New Roman"/>
          <w:color w:val="auto"/>
          <w:spacing w:val="20"/>
          <w:w w:val="100"/>
          <w:sz w:val="21"/>
          <w:szCs w:val="21"/>
        </w:rPr>
        <w:t xml:space="preserve"> </w:t>
      </w:r>
      <w:r>
        <w:rPr>
          <w:rFonts w:hint="default" w:ascii="Times New Roman" w:hAnsi="Times New Roman" w:cs="Times New Roman"/>
          <w:color w:val="auto"/>
          <w:spacing w:val="-16"/>
          <w:w w:val="100"/>
          <w:sz w:val="21"/>
          <w:szCs w:val="21"/>
        </w:rPr>
        <w:t>Yimen</w:t>
      </w:r>
      <w:r>
        <w:rPr>
          <w:rFonts w:hint="default" w:ascii="Times New Roman" w:hAnsi="Times New Roman" w:cs="Times New Roman"/>
          <w:color w:val="auto"/>
          <w:spacing w:val="26"/>
          <w:w w:val="100"/>
          <w:sz w:val="21"/>
          <w:szCs w:val="21"/>
        </w:rPr>
        <w:t xml:space="preserve"> </w:t>
      </w:r>
      <w:r>
        <w:rPr>
          <w:rFonts w:hint="default" w:ascii="Times New Roman" w:hAnsi="Times New Roman" w:cs="Times New Roman"/>
          <w:color w:val="auto"/>
          <w:spacing w:val="-16"/>
          <w:w w:val="100"/>
          <w:sz w:val="21"/>
          <w:szCs w:val="21"/>
        </w:rPr>
        <w:t>County</w:t>
      </w:r>
      <w:r>
        <w:rPr>
          <w:rFonts w:hint="default" w:ascii="Times New Roman" w:hAnsi="Times New Roman" w:cs="Times New Roman"/>
          <w:color w:val="auto"/>
          <w:spacing w:val="16"/>
          <w:w w:val="100"/>
          <w:sz w:val="21"/>
          <w:szCs w:val="21"/>
        </w:rPr>
        <w:t xml:space="preserve"> </w:t>
      </w:r>
      <w:r>
        <w:rPr>
          <w:rFonts w:hint="default" w:ascii="Times New Roman" w:hAnsi="Times New Roman" w:cs="Times New Roman"/>
          <w:color w:val="auto"/>
          <w:spacing w:val="-16"/>
          <w:w w:val="100"/>
          <w:sz w:val="21"/>
          <w:szCs w:val="21"/>
        </w:rPr>
        <w:t>from</w:t>
      </w:r>
      <w:r>
        <w:rPr>
          <w:rFonts w:hint="default" w:ascii="Times New Roman" w:hAnsi="Times New Roman" w:cs="Times New Roman"/>
          <w:color w:val="auto"/>
          <w:spacing w:val="14"/>
          <w:w w:val="100"/>
          <w:sz w:val="21"/>
          <w:szCs w:val="21"/>
        </w:rPr>
        <w:t xml:space="preserve"> </w:t>
      </w:r>
      <w:r>
        <w:rPr>
          <w:rFonts w:hint="default" w:ascii="Times New Roman" w:hAnsi="Times New Roman" w:cs="Times New Roman"/>
          <w:color w:val="auto"/>
          <w:spacing w:val="-16"/>
          <w:w w:val="100"/>
          <w:sz w:val="21"/>
          <w:szCs w:val="21"/>
        </w:rPr>
        <w:t>2000</w:t>
      </w:r>
      <w:r>
        <w:rPr>
          <w:rFonts w:hint="default" w:ascii="Times New Roman" w:hAnsi="Times New Roman" w:cs="Times New Roman"/>
          <w:color w:val="auto"/>
          <w:spacing w:val="18"/>
          <w:w w:val="100"/>
          <w:sz w:val="21"/>
          <w:szCs w:val="21"/>
        </w:rPr>
        <w:t xml:space="preserve"> </w:t>
      </w:r>
      <w:r>
        <w:rPr>
          <w:rFonts w:hint="default" w:ascii="Times New Roman" w:hAnsi="Times New Roman" w:cs="Times New Roman"/>
          <w:color w:val="auto"/>
          <w:spacing w:val="-17"/>
          <w:w w:val="100"/>
          <w:sz w:val="21"/>
          <w:szCs w:val="21"/>
        </w:rPr>
        <w:t>to</w:t>
      </w:r>
      <w:r>
        <w:rPr>
          <w:rFonts w:hint="default" w:ascii="Times New Roman" w:hAnsi="Times New Roman" w:cs="Times New Roman"/>
          <w:color w:val="auto"/>
          <w:spacing w:val="15"/>
          <w:w w:val="100"/>
          <w:sz w:val="21"/>
          <w:szCs w:val="21"/>
        </w:rPr>
        <w:t xml:space="preserve"> </w:t>
      </w:r>
      <w:r>
        <w:rPr>
          <w:rFonts w:hint="default" w:ascii="Times New Roman" w:hAnsi="Times New Roman" w:cs="Times New Roman"/>
          <w:color w:val="auto"/>
          <w:spacing w:val="-17"/>
          <w:w w:val="100"/>
          <w:sz w:val="21"/>
          <w:szCs w:val="21"/>
        </w:rPr>
        <w:t>2018,</w:t>
      </w:r>
      <w:r>
        <w:rPr>
          <w:rFonts w:hint="default" w:ascii="Times New Roman" w:hAnsi="Times New Roman" w:cs="Times New Roman"/>
          <w:color w:val="auto"/>
          <w:spacing w:val="18"/>
          <w:w w:val="100"/>
          <w:sz w:val="21"/>
          <w:szCs w:val="21"/>
        </w:rPr>
        <w:t xml:space="preserve"> </w:t>
      </w:r>
      <w:r>
        <w:rPr>
          <w:rFonts w:hint="default" w:ascii="Times New Roman" w:hAnsi="Times New Roman" w:cs="Times New Roman"/>
          <w:color w:val="auto"/>
          <w:spacing w:val="-17"/>
          <w:w w:val="100"/>
          <w:sz w:val="21"/>
          <w:szCs w:val="21"/>
        </w:rPr>
        <w:t>and</w:t>
      </w:r>
      <w:r>
        <w:rPr>
          <w:rFonts w:hint="default" w:ascii="Times New Roman" w:hAnsi="Times New Roman" w:cs="Times New Roman"/>
          <w:color w:val="auto"/>
          <w:spacing w:val="18"/>
          <w:w w:val="100"/>
          <w:sz w:val="21"/>
          <w:szCs w:val="21"/>
        </w:rPr>
        <w:t xml:space="preserve"> </w:t>
      </w:r>
      <w:r>
        <w:rPr>
          <w:rFonts w:hint="default" w:ascii="Times New Roman" w:hAnsi="Times New Roman" w:cs="Times New Roman"/>
          <w:color w:val="auto"/>
          <w:spacing w:val="-17"/>
          <w:w w:val="100"/>
          <w:sz w:val="21"/>
          <w:szCs w:val="21"/>
        </w:rPr>
        <w:t>the</w:t>
      </w:r>
      <w:r>
        <w:rPr>
          <w:rFonts w:hint="default" w:ascii="Times New Roman" w:hAnsi="Times New Roman" w:cs="Times New Roman"/>
          <w:color w:val="auto"/>
          <w:w w:val="100"/>
          <w:sz w:val="21"/>
          <w:szCs w:val="21"/>
        </w:rPr>
        <w:t xml:space="preserve"> </w:t>
      </w:r>
      <w:r>
        <w:rPr>
          <w:rFonts w:hint="default" w:ascii="Times New Roman" w:hAnsi="Times New Roman" w:cs="Times New Roman"/>
          <w:color w:val="auto"/>
          <w:spacing w:val="-15"/>
          <w:w w:val="100"/>
          <w:sz w:val="21"/>
          <w:szCs w:val="21"/>
        </w:rPr>
        <w:t>impact</w:t>
      </w:r>
      <w:r>
        <w:rPr>
          <w:rFonts w:hint="default" w:ascii="Times New Roman" w:hAnsi="Times New Roman" w:cs="Times New Roman"/>
          <w:color w:val="auto"/>
          <w:spacing w:val="21"/>
          <w:w w:val="100"/>
          <w:sz w:val="21"/>
          <w:szCs w:val="21"/>
        </w:rPr>
        <w:t xml:space="preserve"> </w:t>
      </w:r>
      <w:r>
        <w:rPr>
          <w:rFonts w:hint="default" w:ascii="Times New Roman" w:hAnsi="Times New Roman" w:cs="Times New Roman"/>
          <w:color w:val="auto"/>
          <w:spacing w:val="-15"/>
          <w:w w:val="100"/>
          <w:sz w:val="21"/>
          <w:szCs w:val="21"/>
        </w:rPr>
        <w:t>factors</w:t>
      </w:r>
      <w:r>
        <w:rPr>
          <w:rFonts w:hint="default" w:ascii="Times New Roman" w:hAnsi="Times New Roman" w:cs="Times New Roman"/>
          <w:color w:val="auto"/>
          <w:spacing w:val="15"/>
          <w:w w:val="100"/>
          <w:sz w:val="21"/>
          <w:szCs w:val="21"/>
        </w:rPr>
        <w:t xml:space="preserve"> </w:t>
      </w:r>
      <w:r>
        <w:rPr>
          <w:rFonts w:hint="default" w:ascii="Times New Roman" w:hAnsi="Times New Roman" w:cs="Times New Roman"/>
          <w:color w:val="auto"/>
          <w:spacing w:val="-15"/>
          <w:w w:val="100"/>
          <w:sz w:val="21"/>
          <w:szCs w:val="21"/>
        </w:rPr>
        <w:t>were</w:t>
      </w:r>
      <w:r>
        <w:rPr>
          <w:rFonts w:hint="default" w:ascii="Times New Roman" w:hAnsi="Times New Roman" w:cs="Times New Roman"/>
          <w:color w:val="auto"/>
          <w:spacing w:val="27"/>
          <w:w w:val="100"/>
          <w:sz w:val="21"/>
          <w:szCs w:val="21"/>
        </w:rPr>
        <w:t xml:space="preserve"> </w:t>
      </w:r>
      <w:r>
        <w:rPr>
          <w:rFonts w:hint="default" w:ascii="Times New Roman" w:hAnsi="Times New Roman" w:cs="Times New Roman"/>
          <w:color w:val="auto"/>
          <w:spacing w:val="-15"/>
          <w:w w:val="100"/>
          <w:sz w:val="21"/>
          <w:szCs w:val="21"/>
        </w:rPr>
        <w:t>explored.</w:t>
      </w:r>
      <w:r>
        <w:rPr>
          <w:rFonts w:hint="default" w:ascii="Times New Roman" w:hAnsi="Times New Roman" w:cs="Times New Roman"/>
          <w:color w:val="auto"/>
          <w:spacing w:val="8"/>
          <w:w w:val="100"/>
          <w:sz w:val="21"/>
          <w:szCs w:val="21"/>
        </w:rPr>
        <w:t xml:space="preserve"> </w:t>
      </w:r>
      <w:r>
        <w:rPr>
          <w:rFonts w:hint="default" w:ascii="Times New Roman" w:hAnsi="Times New Roman" w:cs="Times New Roman"/>
          <w:color w:val="auto"/>
          <w:spacing w:val="-15"/>
          <w:w w:val="100"/>
          <w:sz w:val="21"/>
          <w:szCs w:val="21"/>
        </w:rPr>
        <w:t>The</w:t>
      </w:r>
      <w:r>
        <w:rPr>
          <w:rFonts w:hint="default" w:ascii="Times New Roman" w:hAnsi="Times New Roman" w:cs="Times New Roman"/>
          <w:color w:val="auto"/>
          <w:spacing w:val="31"/>
          <w:w w:val="100"/>
          <w:sz w:val="21"/>
          <w:szCs w:val="21"/>
        </w:rPr>
        <w:t xml:space="preserve"> </w:t>
      </w:r>
      <w:r>
        <w:rPr>
          <w:rFonts w:hint="default" w:ascii="Times New Roman" w:hAnsi="Times New Roman" w:cs="Times New Roman"/>
          <w:color w:val="auto"/>
          <w:spacing w:val="-15"/>
          <w:w w:val="100"/>
          <w:sz w:val="21"/>
          <w:szCs w:val="21"/>
        </w:rPr>
        <w:t>results</w:t>
      </w:r>
      <w:r>
        <w:rPr>
          <w:rFonts w:hint="default" w:ascii="Times New Roman" w:hAnsi="Times New Roman" w:cs="Times New Roman"/>
          <w:color w:val="auto"/>
          <w:spacing w:val="32"/>
          <w:w w:val="100"/>
          <w:sz w:val="21"/>
          <w:szCs w:val="21"/>
        </w:rPr>
        <w:t xml:space="preserve"> </w:t>
      </w:r>
      <w:r>
        <w:rPr>
          <w:rFonts w:hint="default" w:ascii="Times New Roman" w:hAnsi="Times New Roman" w:cs="Times New Roman"/>
          <w:color w:val="auto"/>
          <w:spacing w:val="-15"/>
          <w:w w:val="100"/>
          <w:sz w:val="21"/>
          <w:szCs w:val="21"/>
        </w:rPr>
        <w:t>showed</w:t>
      </w:r>
      <w:r>
        <w:rPr>
          <w:rFonts w:hint="default" w:ascii="Times New Roman" w:hAnsi="Times New Roman" w:cs="Times New Roman"/>
          <w:color w:val="auto"/>
          <w:spacing w:val="30"/>
          <w:w w:val="100"/>
          <w:sz w:val="21"/>
          <w:szCs w:val="21"/>
        </w:rPr>
        <w:t xml:space="preserve"> </w:t>
      </w:r>
      <w:r>
        <w:rPr>
          <w:rFonts w:hint="default" w:ascii="Times New Roman" w:hAnsi="Times New Roman" w:cs="Times New Roman"/>
          <w:color w:val="auto"/>
          <w:spacing w:val="-15"/>
          <w:w w:val="100"/>
          <w:sz w:val="21"/>
          <w:szCs w:val="21"/>
        </w:rPr>
        <w:t>that</w:t>
      </w:r>
      <w:r>
        <w:rPr>
          <w:rFonts w:hint="default" w:ascii="Times New Roman" w:hAnsi="Times New Roman" w:cs="Times New Roman"/>
          <w:color w:val="auto"/>
          <w:spacing w:val="33"/>
          <w:w w:val="100"/>
          <w:sz w:val="21"/>
          <w:szCs w:val="21"/>
        </w:rPr>
        <w:t xml:space="preserve"> </w:t>
      </w:r>
      <w:r>
        <w:rPr>
          <w:rFonts w:hint="default" w:ascii="Times New Roman" w:hAnsi="Times New Roman" w:cs="Times New Roman"/>
          <w:color w:val="auto"/>
          <w:spacing w:val="-15"/>
          <w:w w:val="100"/>
          <w:sz w:val="21"/>
          <w:szCs w:val="21"/>
        </w:rPr>
        <w:t>NDVI (0.547</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position w:val="1"/>
          <w:sz w:val="21"/>
          <w:szCs w:val="21"/>
        </w:rPr>
        <w:t>-</w:t>
      </w:r>
      <w:r>
        <w:rPr>
          <w:rFonts w:hint="eastAsia" w:cs="Times New Roman"/>
          <w:color w:val="auto"/>
          <w:spacing w:val="-15"/>
          <w:w w:val="100"/>
          <w:position w:val="1"/>
          <w:sz w:val="21"/>
          <w:szCs w:val="21"/>
          <w:lang w:val="en-US" w:eastAsia="zh-CN"/>
        </w:rPr>
        <w:t xml:space="preserve"> </w:t>
      </w:r>
      <w:r>
        <w:rPr>
          <w:rFonts w:hint="default" w:ascii="Times New Roman" w:hAnsi="Times New Roman" w:cs="Times New Roman"/>
          <w:color w:val="auto"/>
          <w:spacing w:val="-15"/>
          <w:w w:val="100"/>
          <w:sz w:val="21"/>
          <w:szCs w:val="21"/>
        </w:rPr>
        <w:t>0.614) was fluctuated with</w:t>
      </w:r>
      <w:r>
        <w:rPr>
          <w:rFonts w:hint="default" w:ascii="Times New Roman" w:hAnsi="Times New Roman" w:cs="Times New Roman"/>
          <w:color w:val="auto"/>
          <w:spacing w:val="32"/>
          <w:w w:val="100"/>
          <w:sz w:val="21"/>
          <w:szCs w:val="21"/>
        </w:rPr>
        <w:t xml:space="preserve"> </w:t>
      </w:r>
      <w:r>
        <w:rPr>
          <w:rFonts w:hint="default" w:ascii="Times New Roman" w:hAnsi="Times New Roman" w:cs="Times New Roman"/>
          <w:color w:val="auto"/>
          <w:spacing w:val="-15"/>
          <w:w w:val="100"/>
          <w:sz w:val="21"/>
          <w:szCs w:val="21"/>
        </w:rPr>
        <w:t>time</w:t>
      </w:r>
      <w:r>
        <w:rPr>
          <w:rFonts w:hint="default" w:ascii="Times New Roman" w:hAnsi="Times New Roman" w:cs="Times New Roman"/>
          <w:color w:val="auto"/>
          <w:spacing w:val="-15"/>
          <w:w w:val="100"/>
          <w:sz w:val="21"/>
          <w:szCs w:val="21"/>
          <w:lang w:val="en-US" w:eastAsia="zh-CN"/>
        </w:rPr>
        <w:t xml:space="preserve"> from 2000 to 2018, it was increased from 2000 to 2009 and from 2010 to 2018, only was sharply decreased in 2010, and the study area was dominated by high vegetation coverage area (0.500</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NDVI</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&lt;</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0.700)</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 which covered 33.83%</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46.41%; NDVI was correlated with topographic factors (P</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&lt;</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0.05)</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 it was obviously increased with elevation and was firstly increased then decreased with slope , and the differences of NDVI values were significant between different slope aspects (P</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&lt;</w:t>
      </w:r>
      <w:r>
        <w:rPr>
          <w:rFonts w:hint="eastAsia" w:cs="Times New Roman"/>
          <w:color w:val="auto"/>
          <w:spacing w:val="-15"/>
          <w:w w:val="100"/>
          <w:sz w:val="21"/>
          <w:szCs w:val="21"/>
          <w:lang w:val="en-US" w:eastAsia="zh-CN"/>
        </w:rPr>
        <w:t xml:space="preserve"> </w:t>
      </w:r>
      <w:r>
        <w:rPr>
          <w:rFonts w:hint="default" w:ascii="Times New Roman" w:hAnsi="Times New Roman" w:cs="Times New Roman"/>
          <w:color w:val="auto"/>
          <w:spacing w:val="-15"/>
          <w:w w:val="100"/>
          <w:sz w:val="21"/>
          <w:szCs w:val="21"/>
          <w:lang w:val="en-US" w:eastAsia="zh-CN"/>
        </w:rPr>
        <w:t>0.05) , with the maximum on the shaded slope and the minimum on the sunny slope; NDVI was varied among each town, the minimum NDVI was 0.517 in Shijie, and the maximum was 0.629 in Liujie; NDVI was affected by human activities and climate factors, the maximum related factor was the population, the second was GDP, and the minimum was annual precipitation</w:t>
      </w:r>
      <w:r>
        <w:rPr>
          <w:rFonts w:hint="default" w:ascii="Times New Roman" w:hAnsi="Times New Roman" w:cs="Times New Roman"/>
          <w:color w:val="auto"/>
          <w:spacing w:val="-15"/>
          <w:sz w:val="21"/>
          <w:szCs w:val="21"/>
          <w:lang w:val="en-US" w:eastAsia="zh-CN"/>
        </w:rPr>
        <w:t>.</w:t>
      </w:r>
      <w:commentRangeEnd w:id="9"/>
      <w:r>
        <w:rPr>
          <w:color w:val="auto"/>
          <w:sz w:val="21"/>
          <w:szCs w:val="21"/>
        </w:rPr>
        <w:commentReference w:id="9"/>
      </w:r>
    </w:p>
    <w:p w14:paraId="4C48612E">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default" w:ascii="Times New Roman" w:hAnsi="Times New Roman" w:cs="Times New Roman"/>
          <w:color w:val="auto"/>
          <w:spacing w:val="-15"/>
          <w:sz w:val="21"/>
          <w:szCs w:val="21"/>
          <w:lang w:val="en-US" w:eastAsia="zh-CN"/>
        </w:rPr>
      </w:pPr>
      <w:commentRangeStart w:id="11"/>
      <w:r>
        <w:rPr>
          <w:rFonts w:hint="default" w:ascii="Times New Roman" w:hAnsi="Times New Roman" w:cs="Times New Roman"/>
          <w:b/>
          <w:bCs/>
          <w:color w:val="auto"/>
          <w:spacing w:val="-15"/>
          <w:sz w:val="21"/>
          <w:szCs w:val="21"/>
          <w:lang w:val="en-US" w:eastAsia="zh-CN"/>
        </w:rPr>
        <w:t>Key words:</w:t>
      </w:r>
      <w:r>
        <w:rPr>
          <w:rFonts w:hint="default" w:ascii="Times New Roman" w:hAnsi="Times New Roman" w:cs="Times New Roman"/>
          <w:color w:val="auto"/>
          <w:spacing w:val="-15"/>
          <w:sz w:val="21"/>
          <w:szCs w:val="21"/>
          <w:lang w:val="en-US" w:eastAsia="zh-CN"/>
        </w:rPr>
        <w:t xml:space="preserve"> NDVI</w:t>
      </w:r>
      <w:r>
        <w:rPr>
          <w:rFonts w:hint="eastAsia" w:cs="Times New Roman"/>
          <w:color w:val="auto"/>
          <w:spacing w:val="-15"/>
          <w:sz w:val="21"/>
          <w:szCs w:val="21"/>
          <w:lang w:val="en-US" w:eastAsia="zh-CN"/>
        </w:rPr>
        <w:t xml:space="preserve">； </w:t>
      </w:r>
      <w:r>
        <w:rPr>
          <w:rFonts w:hint="default" w:ascii="Times New Roman" w:hAnsi="Times New Roman" w:cs="Times New Roman"/>
          <w:color w:val="auto"/>
          <w:spacing w:val="-15"/>
          <w:sz w:val="21"/>
          <w:szCs w:val="21"/>
          <w:lang w:val="en-US" w:eastAsia="zh-CN"/>
        </w:rPr>
        <w:t>spatiotemporal dynamics</w:t>
      </w:r>
      <w:r>
        <w:rPr>
          <w:rFonts w:hint="eastAsia" w:cs="Times New Roman"/>
          <w:color w:val="auto"/>
          <w:spacing w:val="-15"/>
          <w:sz w:val="21"/>
          <w:szCs w:val="21"/>
          <w:lang w:val="en-US" w:eastAsia="zh-CN"/>
        </w:rPr>
        <w:t xml:space="preserve">； </w:t>
      </w:r>
      <w:r>
        <w:rPr>
          <w:rFonts w:hint="default" w:ascii="Times New Roman" w:hAnsi="Times New Roman" w:cs="Times New Roman"/>
          <w:color w:val="auto"/>
          <w:spacing w:val="-15"/>
          <w:sz w:val="21"/>
          <w:szCs w:val="21"/>
          <w:lang w:val="en-US" w:eastAsia="zh-CN"/>
        </w:rPr>
        <w:t>impact factors</w:t>
      </w:r>
      <w:r>
        <w:rPr>
          <w:rFonts w:hint="eastAsia" w:cs="Times New Roman"/>
          <w:color w:val="auto"/>
          <w:spacing w:val="-15"/>
          <w:sz w:val="21"/>
          <w:szCs w:val="21"/>
          <w:lang w:val="en-US" w:eastAsia="zh-CN"/>
        </w:rPr>
        <w:t xml:space="preserve">； </w:t>
      </w:r>
      <w:r>
        <w:rPr>
          <w:rFonts w:hint="default" w:ascii="Times New Roman" w:hAnsi="Times New Roman" w:cs="Times New Roman"/>
          <w:color w:val="auto"/>
          <w:spacing w:val="-15"/>
          <w:sz w:val="21"/>
          <w:szCs w:val="21"/>
          <w:lang w:val="en-US" w:eastAsia="zh-CN"/>
        </w:rPr>
        <w:t>Yimen County</w:t>
      </w:r>
      <w:commentRangeEnd w:id="11"/>
      <w:r>
        <w:rPr>
          <w:color w:val="auto"/>
          <w:sz w:val="21"/>
          <w:szCs w:val="21"/>
        </w:rPr>
        <w:commentReference w:id="11"/>
      </w:r>
    </w:p>
    <w:p w14:paraId="3FF6B8C9">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left"/>
        <w:textAlignment w:val="auto"/>
        <w:outlineLvl w:val="9"/>
        <w:rPr>
          <w:rFonts w:hint="default" w:ascii="Times New Roman" w:hAnsi="Times New Roman" w:cs="Times New Roman"/>
          <w:color w:val="auto"/>
          <w:spacing w:val="-15"/>
          <w:sz w:val="21"/>
          <w:szCs w:val="21"/>
          <w:lang w:val="en-US" w:eastAsia="zh-CN"/>
        </w:rPr>
      </w:pPr>
    </w:p>
    <w:p w14:paraId="3E39BD37">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rPr>
      </w:pPr>
      <w:commentRangeStart w:id="12"/>
      <w:r>
        <w:rPr>
          <w:rFonts w:hint="eastAsia" w:ascii="Times New Roman" w:hAnsi="Times New Roman" w:eastAsia="宋体" w:cs="宋体"/>
          <w:color w:val="auto"/>
          <w:sz w:val="21"/>
          <w:szCs w:val="21"/>
        </w:rPr>
        <w:t>植被是地表覆盖的最主要成分，在生态系统中起着主导作用，是联结土壤、大气和水分的自然“纽带”，在调节气候和保持水土等方面都发挥着重要的作用，在全球环境变化研究中充当着重要的指示作用</w:t>
      </w:r>
      <w:r>
        <w:rPr>
          <w:rFonts w:hint="eastAsia" w:ascii="Times New Roman" w:hAnsi="Times New Roman" w:eastAsia="宋体" w:cs="宋体"/>
          <w:color w:val="auto"/>
          <w:sz w:val="21"/>
          <w:szCs w:val="21"/>
          <w:vertAlign w:val="superscript"/>
        </w:rPr>
        <w:t>[1-3]</w:t>
      </w:r>
      <w:r>
        <w:rPr>
          <w:rFonts w:hint="eastAsia" w:ascii="Times New Roman" w:hAnsi="Times New Roman" w:eastAsia="宋体" w:cs="宋体"/>
          <w:color w:val="auto"/>
          <w:sz w:val="21"/>
          <w:szCs w:val="21"/>
        </w:rPr>
        <w:t>。植被指数反映了植被在可见光、近红外波段反射与土壤背景之间的差别，是指示植物空间分布和生长状况的重要遥感参数之一</w:t>
      </w:r>
      <w:r>
        <w:rPr>
          <w:rFonts w:hint="eastAsia" w:ascii="Times New Roman" w:hAnsi="Times New Roman" w:eastAsia="宋体" w:cs="宋体"/>
          <w:color w:val="auto"/>
          <w:sz w:val="21"/>
          <w:szCs w:val="21"/>
          <w:vertAlign w:val="superscript"/>
        </w:rPr>
        <w:t>[4]</w:t>
      </w:r>
      <w:r>
        <w:rPr>
          <w:rFonts w:hint="eastAsia" w:ascii="Times New Roman" w:hAnsi="Times New Roman" w:eastAsia="宋体" w:cs="宋体"/>
          <w:color w:val="auto"/>
          <w:sz w:val="21"/>
          <w:szCs w:val="21"/>
        </w:rPr>
        <w:t>。在众多的植被指数中，归一化植被指数（NDVI）可以有效地反映作物生长和养分信息，通常用于监测植被生长，是植被覆盖和土地利用变化的最佳指示因子</w:t>
      </w:r>
      <w:r>
        <w:rPr>
          <w:rFonts w:hint="eastAsia" w:ascii="Times New Roman" w:hAnsi="Times New Roman" w:eastAsia="宋体" w:cs="宋体"/>
          <w:color w:val="auto"/>
          <w:sz w:val="21"/>
          <w:szCs w:val="21"/>
          <w:vertAlign w:val="superscript"/>
        </w:rPr>
        <w:t>[3-10]</w:t>
      </w:r>
      <w:r>
        <w:rPr>
          <w:rFonts w:hint="eastAsia" w:ascii="Times New Roman" w:hAnsi="Times New Roman" w:eastAsia="宋体" w:cs="宋体"/>
          <w:color w:val="auto"/>
          <w:sz w:val="21"/>
          <w:szCs w:val="21"/>
        </w:rPr>
        <w:t>。方精云等</w:t>
      </w:r>
      <w:r>
        <w:rPr>
          <w:rFonts w:hint="eastAsia" w:ascii="Times New Roman" w:hAnsi="Times New Roman" w:eastAsia="宋体" w:cs="宋体"/>
          <w:color w:val="auto"/>
          <w:sz w:val="21"/>
          <w:szCs w:val="21"/>
          <w:vertAlign w:val="superscript"/>
        </w:rPr>
        <w:t>[3]</w:t>
      </w:r>
      <w:r>
        <w:rPr>
          <w:rFonts w:hint="eastAsia" w:ascii="Times New Roman" w:hAnsi="Times New Roman" w:eastAsia="宋体" w:cs="宋体"/>
          <w:color w:val="auto"/>
          <w:sz w:val="21"/>
          <w:szCs w:val="21"/>
        </w:rPr>
        <w:t>分析了1982</w:t>
      </w:r>
      <w:r>
        <w:rPr>
          <w:rFonts w:hint="eastAsia" w:cs="宋体"/>
          <w:color w:val="auto"/>
          <w:sz w:val="21"/>
          <w:szCs w:val="21"/>
          <w:lang w:eastAsia="zh-CN"/>
        </w:rPr>
        <w:t>—</w:t>
      </w:r>
      <w:r>
        <w:rPr>
          <w:rFonts w:hint="eastAsia" w:ascii="Times New Roman" w:hAnsi="Times New Roman" w:eastAsia="宋体" w:cs="宋体"/>
          <w:color w:val="auto"/>
          <w:sz w:val="21"/>
          <w:szCs w:val="21"/>
        </w:rPr>
        <w:t>1999年中国地区NDVI的变化，表明研究期间我国植被活动增强，其主要影响因素是温度提高和夏季降水量增加。徐兴奎等</w:t>
      </w:r>
      <w:r>
        <w:rPr>
          <w:rFonts w:hint="eastAsia" w:ascii="Times New Roman" w:hAnsi="Times New Roman" w:eastAsia="宋体" w:cs="宋体"/>
          <w:color w:val="auto"/>
          <w:sz w:val="21"/>
          <w:szCs w:val="21"/>
          <w:vertAlign w:val="superscript"/>
        </w:rPr>
        <w:t>[7]</w:t>
      </w:r>
      <w:r>
        <w:rPr>
          <w:rFonts w:hint="eastAsia" w:ascii="Times New Roman" w:hAnsi="Times New Roman" w:eastAsia="宋体" w:cs="宋体"/>
          <w:color w:val="auto"/>
          <w:sz w:val="21"/>
          <w:szCs w:val="21"/>
        </w:rPr>
        <w:t>分析了中国西北地区地表植被覆盖特征的时空变化，结果表明19世纪80年代初期到1994年，研究区地表植被增加，1994</w:t>
      </w:r>
      <w:r>
        <w:rPr>
          <w:rFonts w:hint="eastAsia" w:cs="宋体"/>
          <w:color w:val="auto"/>
          <w:sz w:val="21"/>
          <w:szCs w:val="21"/>
          <w:lang w:eastAsia="zh-CN"/>
        </w:rPr>
        <w:t>—</w:t>
      </w:r>
      <w:r>
        <w:rPr>
          <w:rFonts w:hint="eastAsia" w:ascii="Times New Roman" w:hAnsi="Times New Roman" w:eastAsia="宋体" w:cs="宋体"/>
          <w:color w:val="auto"/>
          <w:sz w:val="21"/>
          <w:szCs w:val="21"/>
        </w:rPr>
        <w:t>2000年地表植被覆盖面积退化，其主要原因是气候干旱和人为活动。</w:t>
      </w:r>
      <w:commentRangeEnd w:id="12"/>
      <w:r>
        <w:rPr>
          <w:color w:val="auto"/>
        </w:rPr>
        <w:commentReference w:id="12"/>
      </w:r>
    </w:p>
    <w:p w14:paraId="379A0AEA">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color w:val="auto"/>
          <w:sz w:val="21"/>
          <w:szCs w:val="21"/>
        </w:rPr>
      </w:pPr>
      <w:commentRangeStart w:id="13"/>
      <w:r>
        <w:rPr>
          <w:rFonts w:hint="eastAsia" w:ascii="Times New Roman" w:hAnsi="Times New Roman" w:eastAsia="宋体" w:cs="宋体"/>
          <w:b/>
          <w:bCs/>
          <w:color w:val="auto"/>
          <w:sz w:val="21"/>
          <w:szCs w:val="21"/>
        </w:rPr>
        <w:t>1</w:t>
      </w:r>
      <w:commentRangeStart w:id="14"/>
      <w:r>
        <w:rPr>
          <w:rFonts w:hint="eastAsia" w:ascii="Times New Roman" w:hAnsi="Times New Roman" w:eastAsia="宋体" w:cs="宋体"/>
          <w:b/>
          <w:bCs/>
          <w:color w:val="auto"/>
          <w:sz w:val="21"/>
          <w:szCs w:val="21"/>
        </w:rPr>
        <w:t xml:space="preserve"> </w:t>
      </w:r>
      <w:commentRangeEnd w:id="14"/>
      <w:r>
        <w:rPr>
          <w:color w:val="auto"/>
        </w:rPr>
        <w:commentReference w:id="14"/>
      </w:r>
      <w:r>
        <w:rPr>
          <w:rFonts w:hint="eastAsia" w:ascii="Times New Roman" w:hAnsi="Times New Roman" w:eastAsia="宋体" w:cs="宋体"/>
          <w:b/>
          <w:bCs/>
          <w:color w:val="auto"/>
          <w:sz w:val="21"/>
          <w:szCs w:val="21"/>
        </w:rPr>
        <w:t>研究区与数据来源</w:t>
      </w:r>
    </w:p>
    <w:p w14:paraId="667E99E3">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1.1</w:t>
      </w:r>
      <w:commentRangeStart w:id="15"/>
      <w:r>
        <w:rPr>
          <w:rFonts w:hint="eastAsia" w:cs="宋体"/>
          <w:b/>
          <w:bCs/>
          <w:color w:val="auto"/>
          <w:sz w:val="21"/>
          <w:szCs w:val="21"/>
          <w:lang w:val="en-US" w:eastAsia="zh-CN"/>
        </w:rPr>
        <w:t xml:space="preserve"> </w:t>
      </w:r>
      <w:commentRangeEnd w:id="15"/>
      <w:r>
        <w:rPr>
          <w:b/>
          <w:bCs/>
          <w:color w:val="auto"/>
        </w:rPr>
        <w:commentReference w:id="15"/>
      </w:r>
      <w:r>
        <w:rPr>
          <w:rFonts w:hint="eastAsia" w:ascii="Times New Roman" w:hAnsi="Times New Roman" w:eastAsia="宋体" w:cs="宋体"/>
          <w:b/>
          <w:bCs/>
          <w:color w:val="auto"/>
          <w:sz w:val="21"/>
          <w:szCs w:val="21"/>
        </w:rPr>
        <w:t>研究区概况</w:t>
      </w:r>
      <w:commentRangeEnd w:id="13"/>
      <w:r>
        <w:rPr>
          <w:b/>
          <w:bCs/>
          <w:color w:val="auto"/>
        </w:rPr>
        <w:commentReference w:id="13"/>
      </w:r>
    </w:p>
    <w:p w14:paraId="4A2E8072">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rPr>
      </w:pPr>
      <w:commentRangeStart w:id="16"/>
      <w:r>
        <w:rPr>
          <w:rFonts w:hint="eastAsia" w:ascii="Times New Roman" w:hAnsi="Times New Roman" w:eastAsia="宋体" w:cs="宋体"/>
          <w:color w:val="auto"/>
          <w:sz w:val="21"/>
          <w:szCs w:val="21"/>
        </w:rPr>
        <w:t>易门县位于</w:t>
      </w:r>
      <w:r>
        <w:rPr>
          <w:rFonts w:hint="eastAsia" w:cs="宋体"/>
          <w:color w:val="auto"/>
          <w:sz w:val="21"/>
          <w:szCs w:val="21"/>
          <w:lang w:val="en-US" w:eastAsia="zh-CN"/>
        </w:rPr>
        <w:t>云南省</w:t>
      </w:r>
      <w:r>
        <w:rPr>
          <w:rFonts w:hint="eastAsia" w:ascii="Times New Roman" w:hAnsi="Times New Roman" w:eastAsia="宋体" w:cs="宋体"/>
          <w:color w:val="auto"/>
          <w:sz w:val="21"/>
          <w:szCs w:val="21"/>
        </w:rPr>
        <w:t>玉溪市西北，滇中西部，</w:t>
      </w:r>
      <w:r>
        <w:rPr>
          <w:rFonts w:hint="eastAsia" w:cs="宋体"/>
          <w:color w:val="auto"/>
          <w:sz w:val="21"/>
          <w:szCs w:val="21"/>
          <w:lang w:val="en-US" w:eastAsia="zh-CN"/>
        </w:rPr>
        <w:t>地理坐标为</w:t>
      </w:r>
      <w:r>
        <w:rPr>
          <w:rFonts w:hint="eastAsia" w:ascii="Times New Roman" w:hAnsi="Times New Roman" w:eastAsia="宋体" w:cs="宋体"/>
          <w:color w:val="auto"/>
          <w:sz w:val="21"/>
          <w:szCs w:val="21"/>
        </w:rPr>
        <w:t>北纬</w:t>
      </w:r>
      <w:r>
        <w:rPr>
          <w:rFonts w:hint="default" w:ascii="Times New Roman" w:hAnsi="Times New Roman" w:eastAsia="宋体" w:cs="Times New Roman"/>
          <w:color w:val="auto"/>
          <w:sz w:val="21"/>
          <w:szCs w:val="21"/>
        </w:rPr>
        <w:t>24</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rPr>
        <w:t>27</w:t>
      </w:r>
      <w:r>
        <w:rPr>
          <w:rFonts w:hint="eastAsia" w:cs="宋体"/>
          <w:color w:val="auto"/>
          <w:sz w:val="21"/>
          <w:szCs w:val="21"/>
          <w:lang w:val="en-US" w:eastAsia="zh-CN"/>
        </w:rPr>
        <w:t>′</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rPr>
        <w:t>24</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rPr>
        <w:t>57</w:t>
      </w:r>
      <w:r>
        <w:rPr>
          <w:rFonts w:hint="eastAsia" w:cs="宋体"/>
          <w:color w:val="auto"/>
          <w:sz w:val="21"/>
          <w:szCs w:val="21"/>
          <w:lang w:val="en-US" w:eastAsia="zh-CN"/>
        </w:rPr>
        <w:t>′</w:t>
      </w:r>
      <w:r>
        <w:rPr>
          <w:rFonts w:hint="eastAsia" w:ascii="Times New Roman" w:hAnsi="Times New Roman" w:eastAsia="宋体" w:cs="宋体"/>
          <w:color w:val="auto"/>
          <w:sz w:val="21"/>
          <w:szCs w:val="21"/>
        </w:rPr>
        <w:t>、东经101</w:t>
      </w:r>
      <w:r>
        <w:rPr>
          <w:rFonts w:hint="eastAsia" w:cs="Times New Roman"/>
          <w:color w:val="auto"/>
          <w:sz w:val="21"/>
          <w:szCs w:val="21"/>
          <w:lang w:val="en-US" w:eastAsia="zh-CN"/>
        </w:rPr>
        <w:t>°</w:t>
      </w:r>
      <w:r>
        <w:rPr>
          <w:rFonts w:hint="eastAsia" w:ascii="Times New Roman" w:hAnsi="Times New Roman" w:eastAsia="宋体" w:cs="宋体"/>
          <w:color w:val="auto"/>
          <w:sz w:val="21"/>
          <w:szCs w:val="21"/>
        </w:rPr>
        <w:t>54</w:t>
      </w:r>
      <w:r>
        <w:rPr>
          <w:rFonts w:hint="eastAsia" w:cs="宋体"/>
          <w:color w:val="auto"/>
          <w:sz w:val="21"/>
          <w:szCs w:val="21"/>
          <w:lang w:val="en-US" w:eastAsia="zh-CN"/>
        </w:rPr>
        <w:t>′~</w:t>
      </w:r>
      <w:r>
        <w:rPr>
          <w:rFonts w:hint="eastAsia" w:ascii="Times New Roman" w:hAnsi="Times New Roman" w:eastAsia="宋体" w:cs="宋体"/>
          <w:color w:val="auto"/>
          <w:sz w:val="21"/>
          <w:szCs w:val="21"/>
        </w:rPr>
        <w:t>102</w:t>
      </w:r>
      <w:r>
        <w:rPr>
          <w:rFonts w:hint="eastAsia" w:cs="Times New Roman"/>
          <w:color w:val="auto"/>
          <w:sz w:val="21"/>
          <w:szCs w:val="21"/>
          <w:lang w:val="en-US" w:eastAsia="zh-CN"/>
        </w:rPr>
        <w:t>°</w:t>
      </w:r>
      <w:r>
        <w:rPr>
          <w:rFonts w:hint="eastAsia" w:ascii="Times New Roman" w:hAnsi="Times New Roman" w:eastAsia="宋体" w:cs="宋体"/>
          <w:color w:val="auto"/>
          <w:sz w:val="21"/>
          <w:szCs w:val="21"/>
        </w:rPr>
        <w:t>18</w:t>
      </w:r>
      <w:r>
        <w:rPr>
          <w:rFonts w:hint="eastAsia" w:cs="宋体"/>
          <w:color w:val="auto"/>
          <w:sz w:val="21"/>
          <w:szCs w:val="21"/>
          <w:lang w:val="en-US" w:eastAsia="zh-CN"/>
        </w:rPr>
        <w:t>′</w:t>
      </w:r>
      <w:r>
        <w:rPr>
          <w:rFonts w:hint="eastAsia" w:ascii="Times New Roman" w:hAnsi="Times New Roman" w:eastAsia="宋体" w:cs="宋体"/>
          <w:color w:val="auto"/>
          <w:sz w:val="21"/>
          <w:szCs w:val="21"/>
        </w:rPr>
        <w:t>，县城位于龙泉镇。截至2021年8月，县内总人口151671人</w:t>
      </w:r>
      <w:r>
        <w:rPr>
          <w:rFonts w:hint="eastAsia" w:cs="宋体"/>
          <w:color w:val="auto"/>
          <w:sz w:val="21"/>
          <w:szCs w:val="21"/>
          <w:lang w:eastAsia="zh-CN"/>
        </w:rPr>
        <w:t>，</w:t>
      </w:r>
      <w:r>
        <w:rPr>
          <w:rFonts w:hint="eastAsia" w:ascii="Times New Roman" w:hAnsi="Times New Roman" w:eastAsia="宋体" w:cs="宋体"/>
          <w:color w:val="auto"/>
          <w:sz w:val="21"/>
          <w:szCs w:val="21"/>
        </w:rPr>
        <w:t>少数民族占33.7%，城镇化率50%，森林覆盖率65.4%。县域东西横距44</w:t>
      </w:r>
      <w:r>
        <w:rPr>
          <w:rFonts w:hint="eastAsia" w:cs="宋体"/>
          <w:color w:val="auto"/>
          <w:sz w:val="21"/>
          <w:szCs w:val="21"/>
          <w:lang w:val="en-US" w:eastAsia="zh-CN"/>
        </w:rPr>
        <w:t xml:space="preserve"> </w:t>
      </w:r>
      <w:r>
        <w:rPr>
          <w:rFonts w:hint="eastAsia" w:ascii="Times New Roman" w:hAnsi="Times New Roman" w:eastAsia="宋体" w:cs="宋体"/>
          <w:color w:val="auto"/>
          <w:sz w:val="21"/>
          <w:szCs w:val="21"/>
        </w:rPr>
        <w:t>km，南北纵距57</w:t>
      </w:r>
      <w:r>
        <w:rPr>
          <w:rFonts w:hint="eastAsia" w:cs="宋体"/>
          <w:color w:val="auto"/>
          <w:sz w:val="21"/>
          <w:szCs w:val="21"/>
          <w:lang w:val="en-US" w:eastAsia="zh-CN"/>
        </w:rPr>
        <w:t xml:space="preserve"> </w:t>
      </w:r>
      <w:r>
        <w:rPr>
          <w:rFonts w:hint="eastAsia" w:ascii="Times New Roman" w:hAnsi="Times New Roman" w:eastAsia="宋体" w:cs="宋体"/>
          <w:color w:val="auto"/>
          <w:sz w:val="21"/>
          <w:szCs w:val="21"/>
        </w:rPr>
        <w:t>km，总面积1571</w:t>
      </w:r>
      <w:r>
        <w:rPr>
          <w:rFonts w:hint="eastAsia" w:cs="宋体"/>
          <w:color w:val="auto"/>
          <w:sz w:val="21"/>
          <w:szCs w:val="21"/>
          <w:lang w:val="en-US" w:eastAsia="zh-CN"/>
        </w:rPr>
        <w:t xml:space="preserve"> </w:t>
      </w:r>
      <w:r>
        <w:rPr>
          <w:rFonts w:hint="eastAsia" w:ascii="Times New Roman" w:hAnsi="Times New Roman" w:eastAsia="宋体" w:cs="宋体"/>
          <w:color w:val="auto"/>
          <w:sz w:val="21"/>
          <w:szCs w:val="21"/>
        </w:rPr>
        <w:t>km</w:t>
      </w:r>
      <w:r>
        <w:rPr>
          <w:rFonts w:hint="eastAsia" w:cs="宋体"/>
          <w:color w:val="auto"/>
          <w:sz w:val="21"/>
          <w:szCs w:val="21"/>
          <w:vertAlign w:val="superscript"/>
          <w:lang w:val="en-US" w:eastAsia="zh-CN"/>
        </w:rPr>
        <w:t>2</w:t>
      </w:r>
      <w:r>
        <w:rPr>
          <w:rFonts w:hint="eastAsia" w:ascii="Times New Roman" w:hAnsi="Times New Roman" w:eastAsia="宋体" w:cs="宋体"/>
          <w:color w:val="auto"/>
          <w:sz w:val="21"/>
          <w:szCs w:val="21"/>
        </w:rPr>
        <w:t>。东、北、西三面高山屏立，中部是溶蚀性盆地，东南面为中山河谷地带。</w:t>
      </w:r>
      <w:r>
        <w:rPr>
          <w:rFonts w:hint="eastAsia" w:cs="宋体"/>
          <w:color w:val="auto"/>
          <w:sz w:val="21"/>
          <w:szCs w:val="21"/>
          <w:lang w:val="en-US" w:eastAsia="zh-CN"/>
        </w:rPr>
        <w:t>研究区</w:t>
      </w:r>
      <w:r>
        <w:rPr>
          <w:rFonts w:hint="eastAsia" w:ascii="Times New Roman" w:hAnsi="Times New Roman" w:eastAsia="宋体" w:cs="宋体"/>
          <w:color w:val="auto"/>
          <w:sz w:val="21"/>
          <w:szCs w:val="21"/>
        </w:rPr>
        <w:t>属于中亚热带季风气候，立体气候显著，干湿季节明显</w:t>
      </w:r>
      <w:r>
        <w:rPr>
          <w:rFonts w:hint="eastAsia" w:cs="宋体"/>
          <w:color w:val="auto"/>
          <w:sz w:val="21"/>
          <w:szCs w:val="21"/>
          <w:lang w:eastAsia="zh-CN"/>
        </w:rPr>
        <w:t>（</w:t>
      </w:r>
      <w:r>
        <w:rPr>
          <w:rFonts w:hint="eastAsia" w:cs="宋体"/>
          <w:color w:val="auto"/>
          <w:sz w:val="21"/>
          <w:szCs w:val="21"/>
          <w:lang w:val="en-US" w:eastAsia="zh-CN"/>
        </w:rPr>
        <w:t>图1</w:t>
      </w:r>
      <w:r>
        <w:rPr>
          <w:rFonts w:hint="eastAsia" w:cs="宋体"/>
          <w:color w:val="auto"/>
          <w:sz w:val="21"/>
          <w:szCs w:val="21"/>
          <w:lang w:eastAsia="zh-CN"/>
        </w:rPr>
        <w:t>）</w:t>
      </w:r>
      <w:r>
        <w:rPr>
          <w:rFonts w:hint="eastAsia" w:ascii="Times New Roman" w:hAnsi="Times New Roman" w:eastAsia="宋体" w:cs="宋体"/>
          <w:color w:val="auto"/>
          <w:sz w:val="21"/>
          <w:szCs w:val="21"/>
        </w:rPr>
        <w:t>。</w:t>
      </w:r>
      <w:commentRangeEnd w:id="16"/>
      <w:r>
        <w:commentReference w:id="16"/>
      </w:r>
    </w:p>
    <w:p w14:paraId="36F8E3FB">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color w:val="auto"/>
          <w:sz w:val="21"/>
          <w:szCs w:val="21"/>
        </w:rPr>
      </w:pPr>
      <w:commentRangeStart w:id="17"/>
      <w:r>
        <w:rPr>
          <w:rFonts w:hint="eastAsia" w:ascii="Times New Roman" w:hAnsi="Times New Roman" w:eastAsia="宋体" w:cs="宋体"/>
          <w:color w:val="auto"/>
          <w:sz w:val="21"/>
          <w:szCs w:val="21"/>
        </w:rPr>
        <w:drawing>
          <wp:inline distT="0" distB="0" distL="114300" distR="114300">
            <wp:extent cx="2962910" cy="3599815"/>
            <wp:effectExtent l="0" t="0" r="8890" b="63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8"/>
                    <a:stretch>
                      <a:fillRect/>
                    </a:stretch>
                  </pic:blipFill>
                  <pic:spPr>
                    <a:xfrm>
                      <a:off x="0" y="0"/>
                      <a:ext cx="2962910" cy="3599815"/>
                    </a:xfrm>
                    <a:prstGeom prst="rect">
                      <a:avLst/>
                    </a:prstGeom>
                    <a:noFill/>
                    <a:ln>
                      <a:noFill/>
                    </a:ln>
                  </pic:spPr>
                </pic:pic>
              </a:graphicData>
            </a:graphic>
          </wp:inline>
        </w:drawing>
      </w:r>
      <w:commentRangeEnd w:id="17"/>
      <w:r>
        <w:commentReference w:id="17"/>
      </w:r>
    </w:p>
    <w:p w14:paraId="7336F8E4">
      <w:pPr>
        <w:keepNext w:val="0"/>
        <w:keepLines w:val="0"/>
        <w:pageBreakBefore w:val="0"/>
        <w:kinsoku/>
        <w:wordWrap/>
        <w:overflowPunct/>
        <w:topLinePunct w:val="0"/>
        <w:autoSpaceDE/>
        <w:autoSpaceDN/>
        <w:bidi w:val="0"/>
        <w:adjustRightInd/>
        <w:snapToGrid w:val="0"/>
        <w:spacing w:line="360" w:lineRule="auto"/>
        <w:ind w:right="0" w:rightChars="0"/>
        <w:jc w:val="center"/>
        <w:textAlignment w:val="auto"/>
        <w:outlineLvl w:val="9"/>
        <w:rPr>
          <w:rFonts w:hint="eastAsia" w:ascii="Times New Roman" w:hAnsi="Times New Roman" w:eastAsia="宋体" w:cs="宋体"/>
          <w:b/>
          <w:bCs/>
          <w:color w:val="auto"/>
          <w:sz w:val="21"/>
          <w:szCs w:val="21"/>
        </w:rPr>
      </w:pPr>
      <w:commentRangeStart w:id="18"/>
      <w:r>
        <w:rPr>
          <w:rFonts w:hint="eastAsia" w:ascii="Times New Roman" w:hAnsi="Times New Roman" w:eastAsia="宋体" w:cs="宋体"/>
          <w:b/>
          <w:bCs/>
          <w:color w:val="auto"/>
          <w:sz w:val="21"/>
          <w:szCs w:val="21"/>
        </w:rPr>
        <w:t>图1 易门县地理位置和海拔分布</w:t>
      </w:r>
    </w:p>
    <w:p w14:paraId="64023D94">
      <w:pPr>
        <w:keepNext w:val="0"/>
        <w:keepLines w:val="0"/>
        <w:pageBreakBefore w:val="0"/>
        <w:kinsoku/>
        <w:wordWrap/>
        <w:overflowPunct/>
        <w:topLinePunct w:val="0"/>
        <w:autoSpaceDE/>
        <w:autoSpaceDN/>
        <w:bidi w:val="0"/>
        <w:adjustRightInd/>
        <w:snapToGrid w:val="0"/>
        <w:spacing w:line="360" w:lineRule="auto"/>
        <w:ind w:right="0" w:rightChars="0"/>
        <w:jc w:val="center"/>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b/>
          <w:bCs/>
          <w:color w:val="auto"/>
          <w:sz w:val="21"/>
          <w:szCs w:val="21"/>
        </w:rPr>
        <w:t>Fig. 1 Location and elevation of Yimen County</w:t>
      </w:r>
      <w:r>
        <w:rPr>
          <w:rFonts w:hint="eastAsia" w:ascii="Times New Roman" w:hAnsi="Times New Roman" w:eastAsia="宋体" w:cs="宋体"/>
          <w:b/>
          <w:color w:val="auto"/>
          <w:sz w:val="21"/>
          <w:szCs w:val="21"/>
        </w:rPr>
        <w:t xml:space="preserve"> </w:t>
      </w:r>
      <w:commentRangeEnd w:id="18"/>
      <w:r>
        <w:commentReference w:id="18"/>
      </w:r>
    </w:p>
    <w:p w14:paraId="735B754A">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1.2 数据来源</w:t>
      </w:r>
    </w:p>
    <w:p w14:paraId="288D2038">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rPr>
      </w:pPr>
      <w:commentRangeStart w:id="19"/>
      <w:r>
        <w:rPr>
          <w:rFonts w:hint="eastAsia" w:ascii="Times New Roman" w:hAnsi="Times New Roman" w:eastAsia="宋体" w:cs="宋体"/>
          <w:color w:val="auto"/>
          <w:sz w:val="21"/>
          <w:szCs w:val="21"/>
        </w:rPr>
        <w:t>所采用数据包括Landsat系列数据、地形数据、乡级行政区划数据</w:t>
      </w:r>
      <w:r>
        <w:rPr>
          <w:rFonts w:hint="eastAsia" w:cs="宋体"/>
          <w:color w:val="auto"/>
          <w:sz w:val="21"/>
          <w:szCs w:val="21"/>
          <w:lang w:val="en-US" w:eastAsia="zh-CN"/>
        </w:rPr>
        <w:t>以及</w:t>
      </w:r>
      <w:r>
        <w:rPr>
          <w:rFonts w:hint="eastAsia" w:ascii="Times New Roman" w:hAnsi="Times New Roman" w:eastAsia="宋体" w:cs="宋体"/>
          <w:color w:val="auto"/>
          <w:sz w:val="21"/>
          <w:szCs w:val="21"/>
        </w:rPr>
        <w:t>GDP、人口数量、年均温和年降水量等数据，采用GDP和人口数量衡量人为活动的影响，年均温和年降水量代表气候因素的变化。Landsat数据和DEM数据均下载自地理空间数据云（https://www.gscloud.cn/）。DEM数据为空间分辨率为30 m的SRTM3数据，利用ArcGIS 10.2中的空间分析生成坡度、坡向数据，并进行坡度、坡向和高程分级。GDP、人口数量、年均温和年降水量来自于易门县统计年鉴。</w:t>
      </w:r>
    </w:p>
    <w:p w14:paraId="77F78DD4">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color w:val="auto"/>
          <w:sz w:val="21"/>
          <w:szCs w:val="21"/>
        </w:rPr>
        <w:t>为了更准确科学地进行NDVI时空动态分析，结合研究区气候，选择每年2月左右的云量小于1%的遥感数据进行下载，因2001、2004、2011年和2013年均无适合月份的数据，2000</w:t>
      </w:r>
      <w:r>
        <w:rPr>
          <w:rFonts w:hint="eastAsia" w:cs="宋体"/>
          <w:color w:val="auto"/>
          <w:sz w:val="21"/>
          <w:szCs w:val="21"/>
          <w:lang w:eastAsia="zh-CN"/>
        </w:rPr>
        <w:t>—</w:t>
      </w:r>
      <w:r>
        <w:rPr>
          <w:rFonts w:hint="eastAsia" w:ascii="Times New Roman" w:hAnsi="Times New Roman" w:eastAsia="宋体" w:cs="宋体"/>
          <w:color w:val="auto"/>
          <w:sz w:val="21"/>
          <w:szCs w:val="21"/>
        </w:rPr>
        <w:t>2018年数据仅有2000、2003、2007、2009、2010、2014、2016</w:t>
      </w:r>
      <w:r>
        <w:rPr>
          <w:rFonts w:hint="eastAsia" w:cs="宋体"/>
          <w:color w:val="auto"/>
          <w:sz w:val="21"/>
          <w:szCs w:val="21"/>
          <w:lang w:val="en-US" w:eastAsia="zh-CN"/>
        </w:rPr>
        <w:t>年</w:t>
      </w:r>
      <w:r>
        <w:rPr>
          <w:rFonts w:hint="eastAsia" w:ascii="Times New Roman" w:hAnsi="Times New Roman" w:eastAsia="宋体" w:cs="宋体"/>
          <w:color w:val="auto"/>
          <w:sz w:val="21"/>
          <w:szCs w:val="21"/>
        </w:rPr>
        <w:t>和2018年共8期数据。</w:t>
      </w:r>
      <w:r>
        <w:rPr>
          <w:rFonts w:hint="eastAsia" w:cs="宋体"/>
          <w:color w:val="auto"/>
          <w:sz w:val="21"/>
          <w:szCs w:val="21"/>
          <w:lang w:val="en-US" w:eastAsia="zh-CN"/>
        </w:rPr>
        <w:t>所</w:t>
      </w:r>
      <w:r>
        <w:rPr>
          <w:rFonts w:hint="eastAsia" w:ascii="Times New Roman" w:hAnsi="Times New Roman" w:eastAsia="宋体" w:cs="宋体"/>
          <w:color w:val="auto"/>
          <w:sz w:val="21"/>
          <w:szCs w:val="21"/>
        </w:rPr>
        <w:t>获得数据年份和日期见表1。</w:t>
      </w:r>
      <w:commentRangeEnd w:id="19"/>
      <w:r>
        <w:commentReference w:id="19"/>
      </w:r>
    </w:p>
    <w:p w14:paraId="72A10D1C">
      <w:pPr>
        <w:keepNext w:val="0"/>
        <w:keepLines w:val="0"/>
        <w:pageBreakBefore w:val="0"/>
        <w:kinsoku/>
        <w:wordWrap/>
        <w:overflowPunct/>
        <w:topLinePunct w:val="0"/>
        <w:autoSpaceDE/>
        <w:autoSpaceDN/>
        <w:bidi w:val="0"/>
        <w:adjustRightInd/>
        <w:snapToGrid w:val="0"/>
        <w:spacing w:line="360" w:lineRule="auto"/>
        <w:ind w:left="0" w:right="0" w:rightChars="0" w:firstLine="422" w:firstLineChars="200"/>
        <w:jc w:val="center"/>
        <w:textAlignment w:val="auto"/>
        <w:outlineLvl w:val="9"/>
        <w:rPr>
          <w:rFonts w:hint="eastAsia" w:ascii="Times New Roman" w:hAnsi="Times New Roman" w:eastAsia="宋体" w:cs="宋体"/>
          <w:b/>
          <w:bCs/>
          <w:color w:val="auto"/>
          <w:sz w:val="21"/>
          <w:szCs w:val="21"/>
        </w:rPr>
      </w:pPr>
      <w:commentRangeStart w:id="20"/>
      <w:r>
        <w:rPr>
          <w:rFonts w:hint="eastAsia" w:ascii="Times New Roman" w:hAnsi="Times New Roman" w:eastAsia="宋体" w:cs="宋体"/>
          <w:b/>
          <w:bCs/>
          <w:color w:val="auto"/>
          <w:sz w:val="21"/>
          <w:szCs w:val="21"/>
        </w:rPr>
        <w:t>表1 易门县2000-2018年遥感影像日期</w:t>
      </w:r>
    </w:p>
    <w:p w14:paraId="444D295B">
      <w:pPr>
        <w:keepNext w:val="0"/>
        <w:keepLines w:val="0"/>
        <w:pageBreakBefore w:val="0"/>
        <w:kinsoku/>
        <w:wordWrap/>
        <w:overflowPunct/>
        <w:topLinePunct w:val="0"/>
        <w:autoSpaceDE/>
        <w:autoSpaceDN/>
        <w:bidi w:val="0"/>
        <w:adjustRightInd/>
        <w:snapToGrid w:val="0"/>
        <w:spacing w:line="360" w:lineRule="auto"/>
        <w:ind w:left="0" w:right="0" w:rightChars="0" w:firstLine="422" w:firstLineChars="200"/>
        <w:jc w:val="center"/>
        <w:textAlignment w:val="auto"/>
        <w:outlineLvl w:val="9"/>
      </w:pPr>
      <w:r>
        <w:rPr>
          <w:rFonts w:hint="eastAsia" w:ascii="Times New Roman" w:hAnsi="Times New Roman" w:eastAsia="宋体" w:cs="宋体"/>
          <w:b/>
          <w:bCs/>
          <w:color w:val="auto"/>
          <w:sz w:val="21"/>
          <w:szCs w:val="21"/>
        </w:rPr>
        <w:t>Tab. 1  Date of Remote Sensing Image of Yimen County 2000-2018</w:t>
      </w:r>
      <w:commentRangeEnd w:id="20"/>
      <w:r>
        <w:commentReference w:id="20"/>
      </w:r>
    </w:p>
    <w:tbl>
      <w:tblPr>
        <w:tblStyle w:val="11"/>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9"/>
        <w:gridCol w:w="1419"/>
        <w:gridCol w:w="1420"/>
        <w:gridCol w:w="1420"/>
        <w:gridCol w:w="1420"/>
        <w:gridCol w:w="1420"/>
      </w:tblGrid>
      <w:tr w14:paraId="618528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9" w:type="dxa"/>
            <w:tcBorders>
              <w:bottom w:val="single" w:color="auto" w:sz="4" w:space="0"/>
            </w:tcBorders>
          </w:tcPr>
          <w:p w14:paraId="6B80625A">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commentRangeStart w:id="21"/>
            <w:r>
              <w:rPr>
                <w:rFonts w:hint="eastAsia"/>
                <w:sz w:val="21"/>
                <w:szCs w:val="21"/>
                <w:vertAlign w:val="baseline"/>
                <w:lang w:val="en-US" w:eastAsia="zh-CN"/>
              </w:rPr>
              <w:t>编号</w:t>
            </w:r>
          </w:p>
        </w:tc>
        <w:tc>
          <w:tcPr>
            <w:tcW w:w="1419" w:type="dxa"/>
            <w:tcBorders>
              <w:bottom w:val="single" w:color="auto" w:sz="4" w:space="0"/>
            </w:tcBorders>
          </w:tcPr>
          <w:p w14:paraId="1FD4C020">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年份</w:t>
            </w:r>
          </w:p>
        </w:tc>
        <w:tc>
          <w:tcPr>
            <w:tcW w:w="1420" w:type="dxa"/>
            <w:tcBorders>
              <w:bottom w:val="single" w:color="auto" w:sz="4" w:space="0"/>
            </w:tcBorders>
          </w:tcPr>
          <w:p w14:paraId="6FE01084">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日期</w:t>
            </w:r>
          </w:p>
        </w:tc>
        <w:tc>
          <w:tcPr>
            <w:tcW w:w="1420" w:type="dxa"/>
            <w:tcBorders>
              <w:bottom w:val="single" w:color="auto" w:sz="4" w:space="0"/>
            </w:tcBorders>
            <w:vAlign w:val="top"/>
          </w:tcPr>
          <w:p w14:paraId="0D97F85A">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ascii="Times New Roman" w:hAnsi="Times New Roman" w:eastAsia="宋体" w:cs="Times New Roman"/>
                <w:kern w:val="2"/>
                <w:sz w:val="21"/>
                <w:szCs w:val="21"/>
                <w:vertAlign w:val="baseline"/>
                <w:lang w:val="en-US" w:eastAsia="zh-CN" w:bidi="ar-SA"/>
              </w:rPr>
            </w:pPr>
            <w:r>
              <w:rPr>
                <w:rFonts w:hint="eastAsia"/>
                <w:sz w:val="21"/>
                <w:szCs w:val="21"/>
                <w:vertAlign w:val="baseline"/>
                <w:lang w:val="en-US" w:eastAsia="zh-CN"/>
              </w:rPr>
              <w:t>编号</w:t>
            </w:r>
          </w:p>
        </w:tc>
        <w:tc>
          <w:tcPr>
            <w:tcW w:w="1420" w:type="dxa"/>
            <w:tcBorders>
              <w:bottom w:val="single" w:color="auto" w:sz="4" w:space="0"/>
            </w:tcBorders>
            <w:vAlign w:val="top"/>
          </w:tcPr>
          <w:p w14:paraId="5A1BBBA0">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ascii="Times New Roman" w:hAnsi="Times New Roman" w:eastAsia="宋体" w:cs="Times New Roman"/>
                <w:kern w:val="2"/>
                <w:sz w:val="21"/>
                <w:szCs w:val="21"/>
                <w:vertAlign w:val="baseline"/>
                <w:lang w:val="en-US" w:eastAsia="zh-CN" w:bidi="ar-SA"/>
              </w:rPr>
            </w:pPr>
            <w:r>
              <w:rPr>
                <w:rFonts w:hint="eastAsia"/>
                <w:sz w:val="21"/>
                <w:szCs w:val="21"/>
                <w:vertAlign w:val="baseline"/>
                <w:lang w:val="en-US" w:eastAsia="zh-CN"/>
              </w:rPr>
              <w:t>年份</w:t>
            </w:r>
          </w:p>
        </w:tc>
        <w:tc>
          <w:tcPr>
            <w:tcW w:w="1420" w:type="dxa"/>
            <w:tcBorders>
              <w:bottom w:val="single" w:color="auto" w:sz="4" w:space="0"/>
            </w:tcBorders>
            <w:vAlign w:val="top"/>
          </w:tcPr>
          <w:p w14:paraId="37C1FC83">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ascii="Times New Roman" w:hAnsi="Times New Roman" w:eastAsia="宋体" w:cs="Times New Roman"/>
                <w:kern w:val="2"/>
                <w:sz w:val="21"/>
                <w:szCs w:val="21"/>
                <w:vertAlign w:val="baseline"/>
                <w:lang w:val="en-US" w:eastAsia="zh-CN" w:bidi="ar-SA"/>
              </w:rPr>
            </w:pPr>
            <w:r>
              <w:rPr>
                <w:rFonts w:hint="eastAsia"/>
                <w:sz w:val="21"/>
                <w:szCs w:val="21"/>
                <w:vertAlign w:val="baseline"/>
                <w:lang w:val="en-US" w:eastAsia="zh-CN"/>
              </w:rPr>
              <w:t>日期</w:t>
            </w:r>
          </w:p>
        </w:tc>
      </w:tr>
      <w:tr w14:paraId="1D89CA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9" w:type="dxa"/>
            <w:tcBorders>
              <w:top w:val="single" w:color="auto" w:sz="4" w:space="0"/>
            </w:tcBorders>
          </w:tcPr>
          <w:p w14:paraId="1F83BB18">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1</w:t>
            </w:r>
          </w:p>
        </w:tc>
        <w:tc>
          <w:tcPr>
            <w:tcW w:w="1419" w:type="dxa"/>
            <w:tcBorders>
              <w:top w:val="single" w:color="auto" w:sz="4" w:space="0"/>
            </w:tcBorders>
          </w:tcPr>
          <w:p w14:paraId="5F63A147">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2000</w:t>
            </w:r>
          </w:p>
        </w:tc>
        <w:tc>
          <w:tcPr>
            <w:tcW w:w="1420" w:type="dxa"/>
            <w:tcBorders>
              <w:top w:val="single" w:color="auto" w:sz="4" w:space="0"/>
            </w:tcBorders>
          </w:tcPr>
          <w:p w14:paraId="3C89DF33">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02-19</w:t>
            </w:r>
          </w:p>
        </w:tc>
        <w:tc>
          <w:tcPr>
            <w:tcW w:w="1420" w:type="dxa"/>
            <w:tcBorders>
              <w:top w:val="single" w:color="auto" w:sz="4" w:space="0"/>
            </w:tcBorders>
          </w:tcPr>
          <w:p w14:paraId="4F636F46">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5</w:t>
            </w:r>
          </w:p>
        </w:tc>
        <w:tc>
          <w:tcPr>
            <w:tcW w:w="1420" w:type="dxa"/>
            <w:tcBorders>
              <w:top w:val="single" w:color="auto" w:sz="4" w:space="0"/>
            </w:tcBorders>
          </w:tcPr>
          <w:p w14:paraId="656ECA06">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2010</w:t>
            </w:r>
          </w:p>
        </w:tc>
        <w:tc>
          <w:tcPr>
            <w:tcW w:w="1420" w:type="dxa"/>
            <w:tcBorders>
              <w:top w:val="single" w:color="auto" w:sz="4" w:space="0"/>
            </w:tcBorders>
          </w:tcPr>
          <w:p w14:paraId="188DC9A4">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02-14</w:t>
            </w:r>
          </w:p>
        </w:tc>
      </w:tr>
      <w:tr w14:paraId="55363D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9" w:type="dxa"/>
          </w:tcPr>
          <w:p w14:paraId="1BCEBDEA">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2</w:t>
            </w:r>
          </w:p>
        </w:tc>
        <w:tc>
          <w:tcPr>
            <w:tcW w:w="1419" w:type="dxa"/>
          </w:tcPr>
          <w:p w14:paraId="4546B803">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2003</w:t>
            </w:r>
          </w:p>
        </w:tc>
        <w:tc>
          <w:tcPr>
            <w:tcW w:w="1420" w:type="dxa"/>
          </w:tcPr>
          <w:p w14:paraId="704F1646">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02-19</w:t>
            </w:r>
          </w:p>
        </w:tc>
        <w:tc>
          <w:tcPr>
            <w:tcW w:w="1420" w:type="dxa"/>
          </w:tcPr>
          <w:p w14:paraId="72F6B385">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6</w:t>
            </w:r>
          </w:p>
        </w:tc>
        <w:tc>
          <w:tcPr>
            <w:tcW w:w="1420" w:type="dxa"/>
          </w:tcPr>
          <w:p w14:paraId="66757932">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2014</w:t>
            </w:r>
          </w:p>
        </w:tc>
        <w:tc>
          <w:tcPr>
            <w:tcW w:w="1420" w:type="dxa"/>
          </w:tcPr>
          <w:p w14:paraId="52BBDB1B">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02-25</w:t>
            </w:r>
          </w:p>
        </w:tc>
      </w:tr>
      <w:tr w14:paraId="704324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9" w:type="dxa"/>
          </w:tcPr>
          <w:p w14:paraId="7A933F49">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3</w:t>
            </w:r>
          </w:p>
        </w:tc>
        <w:tc>
          <w:tcPr>
            <w:tcW w:w="1419" w:type="dxa"/>
          </w:tcPr>
          <w:p w14:paraId="113FB467">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2007</w:t>
            </w:r>
          </w:p>
        </w:tc>
        <w:tc>
          <w:tcPr>
            <w:tcW w:w="1420" w:type="dxa"/>
          </w:tcPr>
          <w:p w14:paraId="12582B73">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02-22</w:t>
            </w:r>
          </w:p>
        </w:tc>
        <w:tc>
          <w:tcPr>
            <w:tcW w:w="1420" w:type="dxa"/>
          </w:tcPr>
          <w:p w14:paraId="62AFD52E">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7</w:t>
            </w:r>
          </w:p>
        </w:tc>
        <w:tc>
          <w:tcPr>
            <w:tcW w:w="1420" w:type="dxa"/>
          </w:tcPr>
          <w:p w14:paraId="4C507FEA">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2016</w:t>
            </w:r>
          </w:p>
        </w:tc>
        <w:tc>
          <w:tcPr>
            <w:tcW w:w="1420" w:type="dxa"/>
          </w:tcPr>
          <w:p w14:paraId="113F4580">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02-15</w:t>
            </w:r>
          </w:p>
        </w:tc>
      </w:tr>
      <w:tr w14:paraId="027D5F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9" w:type="dxa"/>
          </w:tcPr>
          <w:p w14:paraId="0493DC61">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4</w:t>
            </w:r>
          </w:p>
        </w:tc>
        <w:tc>
          <w:tcPr>
            <w:tcW w:w="1419" w:type="dxa"/>
          </w:tcPr>
          <w:p w14:paraId="454CC92B">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2009</w:t>
            </w:r>
          </w:p>
        </w:tc>
        <w:tc>
          <w:tcPr>
            <w:tcW w:w="1420" w:type="dxa"/>
          </w:tcPr>
          <w:p w14:paraId="7B69941F">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02-11</w:t>
            </w:r>
          </w:p>
        </w:tc>
        <w:tc>
          <w:tcPr>
            <w:tcW w:w="1420" w:type="dxa"/>
          </w:tcPr>
          <w:p w14:paraId="220A3A33">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eastAsia="宋体"/>
                <w:sz w:val="21"/>
                <w:szCs w:val="21"/>
                <w:vertAlign w:val="baseline"/>
                <w:lang w:val="en-US" w:eastAsia="zh-CN"/>
              </w:rPr>
            </w:pPr>
            <w:r>
              <w:rPr>
                <w:rFonts w:hint="eastAsia"/>
                <w:sz w:val="21"/>
                <w:szCs w:val="21"/>
                <w:vertAlign w:val="baseline"/>
                <w:lang w:val="en-US" w:eastAsia="zh-CN"/>
              </w:rPr>
              <w:t>8</w:t>
            </w:r>
          </w:p>
        </w:tc>
        <w:tc>
          <w:tcPr>
            <w:tcW w:w="1420" w:type="dxa"/>
          </w:tcPr>
          <w:p w14:paraId="0B8D9305">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eastAsia"/>
                <w:sz w:val="21"/>
                <w:szCs w:val="21"/>
                <w:vertAlign w:val="baseline"/>
              </w:rPr>
            </w:pPr>
            <w:r>
              <w:rPr>
                <w:rFonts w:hint="default" w:ascii="Times New Roman" w:hAnsi="Times New Roman" w:eastAsia="宋体" w:cs="Times New Roman"/>
                <w:b w:val="0"/>
                <w:bCs w:val="0"/>
                <w:color w:val="auto"/>
                <w:kern w:val="0"/>
                <w:sz w:val="21"/>
                <w:szCs w:val="21"/>
              </w:rPr>
              <w:t>2018</w:t>
            </w:r>
          </w:p>
        </w:tc>
        <w:tc>
          <w:tcPr>
            <w:tcW w:w="1420" w:type="dxa"/>
          </w:tcPr>
          <w:p w14:paraId="105E9546">
            <w:pPr>
              <w:keepNext w:val="0"/>
              <w:keepLines w:val="0"/>
              <w:pageBreakBefore w:val="0"/>
              <w:kinsoku/>
              <w:wordWrap/>
              <w:overflowPunct/>
              <w:topLinePunct w:val="0"/>
              <w:autoSpaceDE/>
              <w:autoSpaceDN/>
              <w:bidi w:val="0"/>
              <w:adjustRightInd/>
              <w:snapToGrid w:val="0"/>
              <w:spacing w:line="240" w:lineRule="auto"/>
              <w:ind w:right="0" w:rightChars="0"/>
              <w:jc w:val="center"/>
              <w:textAlignment w:val="auto"/>
              <w:outlineLvl w:val="9"/>
              <w:rPr>
                <w:rFonts w:hint="default" w:eastAsia="宋体"/>
                <w:sz w:val="21"/>
                <w:szCs w:val="21"/>
                <w:vertAlign w:val="baseline"/>
                <w:lang w:val="en-US" w:eastAsia="zh-CN"/>
              </w:rPr>
            </w:pPr>
            <w:r>
              <w:rPr>
                <w:rFonts w:hint="eastAsia"/>
                <w:sz w:val="21"/>
                <w:szCs w:val="21"/>
                <w:vertAlign w:val="baseline"/>
                <w:lang w:val="en-US" w:eastAsia="zh-CN"/>
              </w:rPr>
              <w:t>02-20</w:t>
            </w:r>
            <w:commentRangeEnd w:id="21"/>
            <w:r>
              <w:commentReference w:id="21"/>
            </w:r>
          </w:p>
        </w:tc>
      </w:tr>
    </w:tbl>
    <w:p w14:paraId="6AAA1B8C">
      <w:pPr>
        <w:keepNext w:val="0"/>
        <w:keepLines w:val="0"/>
        <w:pageBreakBefore w:val="0"/>
        <w:numPr>
          <w:ilvl w:val="0"/>
          <w:numId w:val="1"/>
        </w:numPr>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研究方法</w:t>
      </w:r>
    </w:p>
    <w:p w14:paraId="65DC540C">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2.1 NDVI计算</w:t>
      </w:r>
    </w:p>
    <w:p w14:paraId="023EA060">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lang w:eastAsia="zh-CN"/>
        </w:rPr>
      </w:pPr>
      <w:commentRangeStart w:id="22"/>
      <w:r>
        <w:rPr>
          <w:rFonts w:hint="eastAsia" w:ascii="Times New Roman" w:hAnsi="Times New Roman" w:eastAsia="宋体" w:cs="宋体"/>
          <w:color w:val="auto"/>
          <w:sz w:val="21"/>
          <w:szCs w:val="21"/>
        </w:rPr>
        <w:t>运用ENVI 5.2在对影像数据进行辐射定标、大气校正和几何纠正的基础上，计算研究区NDVI</w:t>
      </w:r>
      <w:r>
        <w:rPr>
          <w:rFonts w:hint="eastAsia" w:cs="宋体"/>
          <w:color w:val="auto"/>
          <w:sz w:val="21"/>
          <w:szCs w:val="21"/>
          <w:lang w:val="en-US" w:eastAsia="zh-CN"/>
        </w:rPr>
        <w:t>值</w:t>
      </w:r>
      <w:r>
        <w:rPr>
          <w:rFonts w:hint="eastAsia" w:ascii="Times New Roman" w:hAnsi="Times New Roman" w:eastAsia="宋体" w:cs="宋体"/>
          <w:color w:val="auto"/>
          <w:sz w:val="21"/>
          <w:szCs w:val="21"/>
        </w:rPr>
        <w:t>，其公式</w:t>
      </w:r>
      <w:r>
        <w:rPr>
          <w:rFonts w:hint="eastAsia" w:cs="宋体"/>
          <w:color w:val="auto"/>
          <w:sz w:val="21"/>
          <w:szCs w:val="21"/>
          <w:lang w:val="en-US" w:eastAsia="zh-CN"/>
        </w:rPr>
        <w:t>为：</w:t>
      </w:r>
    </w:p>
    <w:p w14:paraId="375306CB">
      <w:pPr>
        <w:keepNext w:val="0"/>
        <w:keepLines w:val="0"/>
        <w:pageBreakBefore w:val="0"/>
        <w:kinsoku/>
        <w:wordWrap/>
        <w:overflowPunct/>
        <w:topLinePunct w:val="0"/>
        <w:autoSpaceDE/>
        <w:autoSpaceDN/>
        <w:bidi w:val="0"/>
        <w:adjustRightInd/>
        <w:snapToGrid w:val="0"/>
        <w:spacing w:line="360" w:lineRule="auto"/>
        <w:ind w:right="0" w:rightChars="0" w:firstLine="420" w:firstLineChars="200"/>
        <w:jc w:val="both"/>
        <w:textAlignment w:val="auto"/>
        <w:outlineLvl w:val="9"/>
        <w:rPr>
          <w:rFonts w:hint="default" w:ascii="Times New Roman" w:hAnsi="Times New Roman" w:eastAsia="宋体" w:cs="宋体"/>
          <w:color w:val="auto"/>
          <w:sz w:val="21"/>
          <w:szCs w:val="21"/>
          <w:lang w:val="en-US" w:eastAsia="zh-CN"/>
        </w:rPr>
      </w:pPr>
      <w:r>
        <w:rPr>
          <w:rFonts w:hint="default" w:ascii="Times New Roman" w:hAnsi="Times New Roman" w:eastAsia="宋体" w:cs="Times New Roman"/>
          <w:color w:val="auto"/>
          <w:sz w:val="21"/>
          <w:szCs w:val="21"/>
        </w:rPr>
        <w:t>NDVI</w:t>
      </w:r>
      <w:r>
        <w:rPr>
          <w:rFonts w:hint="default" w:ascii="Times New Roman" w:hAnsi="Times New Roman" w:cs="Times New Roman"/>
          <w:color w:val="auto"/>
          <w:sz w:val="21"/>
          <w:szCs w:val="21"/>
          <w:lang w:val="en-US" w:eastAsia="zh-CN"/>
        </w:rPr>
        <w:t xml:space="preserve"> </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NIR</w:t>
      </w:r>
      <w:r>
        <w:rPr>
          <w:rFonts w:hint="eastAsia" w:cs="Times New Roman"/>
          <w:color w:val="auto"/>
          <w:sz w:val="21"/>
          <w:szCs w:val="21"/>
          <w:lang w:val="en-US" w:eastAsia="zh-CN"/>
        </w:rPr>
        <w:t xml:space="preserve"> － </w:t>
      </w:r>
      <w:r>
        <w:rPr>
          <w:rFonts w:hint="default" w:ascii="Times New Roman" w:hAnsi="Times New Roman" w:eastAsia="宋体" w:cs="Times New Roman"/>
          <w:color w:val="auto"/>
          <w:sz w:val="21"/>
          <w:szCs w:val="21"/>
        </w:rPr>
        <w:t>R</w:t>
      </w:r>
      <w:r>
        <w:rPr>
          <w:rFonts w:hint="eastAsia" w:cs="Times New Roman"/>
          <w:color w:val="auto"/>
          <w:sz w:val="21"/>
          <w:szCs w:val="21"/>
          <w:lang w:val="en-US" w:eastAsia="zh-CN"/>
        </w:rPr>
        <w:t>) / (</w:t>
      </w:r>
      <w:r>
        <w:rPr>
          <w:rFonts w:hint="default" w:ascii="Times New Roman" w:hAnsi="Times New Roman" w:eastAsia="宋体" w:cs="Times New Roman"/>
          <w:color w:val="auto"/>
          <w:sz w:val="21"/>
          <w:szCs w:val="21"/>
        </w:rPr>
        <w:t>NIR</w:t>
      </w:r>
      <w:r>
        <w:rPr>
          <w:rFonts w:hint="eastAsia" w:cs="Times New Roman"/>
          <w:color w:val="auto"/>
          <w:sz w:val="21"/>
          <w:szCs w:val="21"/>
          <w:lang w:val="en-US" w:eastAsia="zh-CN"/>
        </w:rPr>
        <w:t xml:space="preserve"> ＋ </w:t>
      </w:r>
      <w:r>
        <w:rPr>
          <w:rFonts w:hint="default" w:ascii="Times New Roman" w:hAnsi="Times New Roman" w:eastAsia="宋体" w:cs="Times New Roman"/>
          <w:color w:val="auto"/>
          <w:sz w:val="21"/>
          <w:szCs w:val="21"/>
        </w:rPr>
        <w:t>R</w:t>
      </w:r>
      <w:r>
        <w:rPr>
          <w:rFonts w:hint="eastAsia" w:cs="Times New Roman"/>
          <w:color w:val="auto"/>
          <w:sz w:val="21"/>
          <w:szCs w:val="21"/>
          <w:lang w:val="en-US" w:eastAsia="zh-CN"/>
        </w:rPr>
        <w:t>)</w:t>
      </w:r>
      <w:r>
        <w:rPr>
          <w:rFonts w:hint="eastAsia" w:cs="宋体"/>
          <w:color w:val="auto"/>
          <w:sz w:val="21"/>
          <w:szCs w:val="21"/>
          <w:lang w:val="en-US" w:eastAsia="zh-CN"/>
        </w:rPr>
        <w:t xml:space="preserve">                                            （1）</w:t>
      </w:r>
    </w:p>
    <w:p w14:paraId="5D448D8F">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rPr>
      </w:pPr>
      <w:r>
        <w:rPr>
          <w:rFonts w:hint="eastAsia" w:cs="宋体"/>
          <w:color w:val="auto"/>
          <w:sz w:val="21"/>
          <w:szCs w:val="21"/>
          <w:lang w:val="en-US" w:eastAsia="zh-CN"/>
        </w:rPr>
        <w:t>式中：</w:t>
      </w:r>
      <w:r>
        <w:rPr>
          <w:rFonts w:hint="eastAsia" w:ascii="Times New Roman" w:hAnsi="Times New Roman" w:eastAsia="宋体" w:cs="宋体"/>
          <w:color w:val="auto"/>
          <w:sz w:val="21"/>
          <w:szCs w:val="21"/>
        </w:rPr>
        <w:t>NIR表示地物在近红外波段的反射率</w:t>
      </w:r>
      <w:r>
        <w:rPr>
          <w:rFonts w:hint="eastAsia" w:cs="宋体"/>
          <w:color w:val="auto"/>
          <w:sz w:val="21"/>
          <w:szCs w:val="21"/>
          <w:lang w:eastAsia="zh-CN"/>
        </w:rPr>
        <w:t>；</w:t>
      </w:r>
      <w:r>
        <w:rPr>
          <w:rFonts w:hint="eastAsia" w:ascii="Times New Roman" w:hAnsi="Times New Roman" w:eastAsia="宋体" w:cs="宋体"/>
          <w:color w:val="auto"/>
          <w:sz w:val="21"/>
          <w:szCs w:val="21"/>
        </w:rPr>
        <w:t>R表示地物红光波段的反射率</w:t>
      </w:r>
      <w:r>
        <w:rPr>
          <w:rFonts w:hint="eastAsia" w:ascii="Times New Roman" w:hAnsi="Times New Roman" w:eastAsia="宋体" w:cs="宋体"/>
          <w:color w:val="auto"/>
          <w:sz w:val="21"/>
          <w:szCs w:val="21"/>
          <w:vertAlign w:val="superscript"/>
        </w:rPr>
        <w:t>[15]</w:t>
      </w:r>
      <w:r>
        <w:rPr>
          <w:rFonts w:hint="eastAsia" w:ascii="Times New Roman" w:hAnsi="Times New Roman" w:eastAsia="宋体" w:cs="宋体"/>
          <w:color w:val="auto"/>
          <w:sz w:val="21"/>
          <w:szCs w:val="21"/>
        </w:rPr>
        <w:t>，NDVI值是从</w:t>
      </w:r>
      <w:r>
        <w:rPr>
          <w:rFonts w:hint="eastAsia" w:cs="宋体"/>
          <w:color w:val="auto"/>
          <w:sz w:val="21"/>
          <w:szCs w:val="21"/>
          <w:lang w:val="en-US" w:eastAsia="zh-CN"/>
        </w:rPr>
        <w:t>-</w:t>
      </w:r>
      <w:r>
        <w:rPr>
          <w:rFonts w:hint="default" w:ascii="Times New Roman" w:hAnsi="Times New Roman" w:eastAsia="宋体" w:cs="Times New Roman"/>
          <w:color w:val="auto"/>
          <w:sz w:val="21"/>
          <w:szCs w:val="21"/>
        </w:rPr>
        <w:t>1到1之间的</w:t>
      </w:r>
      <w:r>
        <w:rPr>
          <w:rFonts w:hint="eastAsia" w:ascii="Times New Roman" w:hAnsi="Times New Roman" w:eastAsia="宋体" w:cs="宋体"/>
          <w:color w:val="auto"/>
          <w:sz w:val="21"/>
          <w:szCs w:val="21"/>
        </w:rPr>
        <w:t>连续实数，负值表示地面有云、水、雪等对可见光高反射的物体，0表示地面覆盖类型为岩石或是裸土等，正值表示地面覆盖类型为植被。正值越大，覆盖度越大。</w:t>
      </w:r>
    </w:p>
    <w:p w14:paraId="2ED0600A">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cs="宋体"/>
          <w:color w:val="auto"/>
          <w:sz w:val="21"/>
          <w:szCs w:val="21"/>
          <w:lang w:val="en-US" w:eastAsia="zh-CN"/>
        </w:rPr>
      </w:pPr>
      <w:r>
        <w:rPr>
          <w:rFonts w:hint="eastAsia" w:ascii="Times New Roman" w:hAnsi="Times New Roman" w:eastAsia="宋体" w:cs="宋体"/>
          <w:color w:val="auto"/>
          <w:sz w:val="21"/>
          <w:szCs w:val="21"/>
        </w:rPr>
        <w:t>结合易门县植被分布特点，</w:t>
      </w:r>
      <w:r>
        <w:rPr>
          <w:rFonts w:hint="eastAsia" w:cs="宋体"/>
          <w:color w:val="auto"/>
          <w:sz w:val="21"/>
          <w:szCs w:val="21"/>
          <w:lang w:val="en-US" w:eastAsia="zh-CN"/>
        </w:rPr>
        <w:t>根据县域</w:t>
      </w:r>
      <w:r>
        <w:rPr>
          <w:rFonts w:hint="default" w:ascii="Times New Roman" w:hAnsi="Times New Roman" w:cs="Times New Roman"/>
          <w:color w:val="auto"/>
          <w:sz w:val="21"/>
          <w:szCs w:val="21"/>
          <w:lang w:val="en-US" w:eastAsia="zh-CN"/>
        </w:rPr>
        <w:t>内NDVI</w:t>
      </w:r>
      <w:r>
        <w:rPr>
          <w:rFonts w:hint="eastAsia" w:cs="宋体"/>
          <w:color w:val="auto"/>
          <w:sz w:val="21"/>
          <w:szCs w:val="21"/>
          <w:lang w:val="en-US" w:eastAsia="zh-CN"/>
        </w:rPr>
        <w:t>值，分为</w:t>
      </w:r>
      <w:r>
        <w:rPr>
          <w:rFonts w:hint="eastAsia" w:ascii="Times New Roman" w:hAnsi="Times New Roman" w:eastAsia="宋体" w:cs="宋体"/>
          <w:color w:val="auto"/>
          <w:sz w:val="21"/>
          <w:szCs w:val="21"/>
        </w:rPr>
        <w:t>6类（图2），即</w:t>
      </w:r>
      <w:r>
        <w:rPr>
          <w:rFonts w:hint="eastAsia" w:cs="宋体"/>
          <w:color w:val="auto"/>
          <w:sz w:val="21"/>
          <w:szCs w:val="21"/>
          <w:lang w:val="en-US" w:eastAsia="zh-CN"/>
        </w:rPr>
        <w:t>NDVI值为-1.00 ~ 0.00表示无植被覆盖，NDVI值为0 ~ 0.15表示低植被覆盖，NDVI值为0.15 ~ 0.30表示中低植被覆盖，NDVI值为0.30 ~ 0.50表示中植被覆盖，NDVI值为0.50 ~ 0.70表示高植被覆盖，NDVI值为0.70 ~ 1.00表示全植被覆盖。</w:t>
      </w:r>
      <w:commentRangeEnd w:id="22"/>
      <w:r>
        <w:commentReference w:id="22"/>
      </w:r>
    </w:p>
    <w:p w14:paraId="60F55104">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color w:val="auto"/>
          <w:sz w:val="21"/>
          <w:szCs w:val="21"/>
        </w:rPr>
        <w:drawing>
          <wp:inline distT="0" distB="0" distL="114300" distR="114300">
            <wp:extent cx="2211070" cy="2879725"/>
            <wp:effectExtent l="0" t="0" r="17780" b="15875"/>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9"/>
                    <a:stretch>
                      <a:fillRect/>
                    </a:stretch>
                  </pic:blipFill>
                  <pic:spPr>
                    <a:xfrm>
                      <a:off x="0" y="0"/>
                      <a:ext cx="2211070" cy="2879725"/>
                    </a:xfrm>
                    <a:prstGeom prst="rect">
                      <a:avLst/>
                    </a:prstGeom>
                    <a:noFill/>
                    <a:ln>
                      <a:noFill/>
                    </a:ln>
                  </pic:spPr>
                </pic:pic>
              </a:graphicData>
            </a:graphic>
          </wp:inline>
        </w:drawing>
      </w:r>
      <w:r>
        <w:rPr>
          <w:rFonts w:hint="eastAsia" w:ascii="Times New Roman" w:hAnsi="Times New Roman" w:eastAsia="宋体" w:cs="宋体"/>
          <w:color w:val="auto"/>
          <w:sz w:val="21"/>
          <w:szCs w:val="21"/>
        </w:rPr>
        <w:drawing>
          <wp:inline distT="0" distB="0" distL="114300" distR="114300">
            <wp:extent cx="2211070" cy="2879725"/>
            <wp:effectExtent l="0" t="0" r="17780" b="15875"/>
            <wp:docPr id="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pic:cNvPicPr>
                      <a:picLocks noChangeAspect="1"/>
                    </pic:cNvPicPr>
                  </pic:nvPicPr>
                  <pic:blipFill>
                    <a:blip r:embed="rId10"/>
                    <a:stretch>
                      <a:fillRect/>
                    </a:stretch>
                  </pic:blipFill>
                  <pic:spPr>
                    <a:xfrm>
                      <a:off x="0" y="0"/>
                      <a:ext cx="2211070" cy="2879725"/>
                    </a:xfrm>
                    <a:prstGeom prst="rect">
                      <a:avLst/>
                    </a:prstGeom>
                    <a:noFill/>
                    <a:ln>
                      <a:noFill/>
                    </a:ln>
                  </pic:spPr>
                </pic:pic>
              </a:graphicData>
            </a:graphic>
          </wp:inline>
        </w:drawing>
      </w:r>
    </w:p>
    <w:p w14:paraId="79B2CF68">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cs="宋体"/>
          <w:color w:val="auto"/>
          <w:sz w:val="21"/>
          <w:szCs w:val="21"/>
          <w:lang w:val="en-US" w:eastAsia="zh-CN"/>
        </w:rPr>
      </w:pPr>
      <w:r>
        <w:rPr>
          <w:rFonts w:hint="eastAsia" w:cs="宋体"/>
          <w:color w:val="auto"/>
          <w:sz w:val="21"/>
          <w:szCs w:val="21"/>
          <w:lang w:val="en-US" w:eastAsia="zh-CN"/>
        </w:rPr>
        <w:t xml:space="preserve">                   </w:t>
      </w:r>
      <w:commentRangeStart w:id="23"/>
      <w:r>
        <w:rPr>
          <w:rFonts w:hint="eastAsia" w:cs="宋体"/>
          <w:color w:val="auto"/>
          <w:sz w:val="21"/>
          <w:szCs w:val="21"/>
          <w:lang w:val="en-US" w:eastAsia="zh-CN"/>
        </w:rPr>
        <w:t>(a)2000年                           (b)2003年</w:t>
      </w:r>
      <w:commentRangeEnd w:id="23"/>
      <w:r>
        <w:commentReference w:id="23"/>
      </w:r>
    </w:p>
    <w:p w14:paraId="268892D5">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color w:val="auto"/>
          <w:sz w:val="21"/>
          <w:szCs w:val="21"/>
        </w:rPr>
        <w:drawing>
          <wp:inline distT="0" distB="0" distL="114300" distR="114300">
            <wp:extent cx="2211070" cy="2879725"/>
            <wp:effectExtent l="0" t="0" r="17780" b="15875"/>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11"/>
                    <a:stretch>
                      <a:fillRect/>
                    </a:stretch>
                  </pic:blipFill>
                  <pic:spPr>
                    <a:xfrm>
                      <a:off x="0" y="0"/>
                      <a:ext cx="2211070" cy="2879725"/>
                    </a:xfrm>
                    <a:prstGeom prst="rect">
                      <a:avLst/>
                    </a:prstGeom>
                    <a:noFill/>
                    <a:ln>
                      <a:noFill/>
                    </a:ln>
                  </pic:spPr>
                </pic:pic>
              </a:graphicData>
            </a:graphic>
          </wp:inline>
        </w:drawing>
      </w:r>
      <w:r>
        <w:rPr>
          <w:rFonts w:hint="eastAsia" w:ascii="Times New Roman" w:hAnsi="Times New Roman" w:eastAsia="宋体" w:cs="宋体"/>
          <w:color w:val="auto"/>
          <w:sz w:val="21"/>
          <w:szCs w:val="21"/>
        </w:rPr>
        <w:drawing>
          <wp:inline distT="0" distB="0" distL="114300" distR="114300">
            <wp:extent cx="2211070" cy="2879725"/>
            <wp:effectExtent l="0" t="0" r="17780" b="1587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12"/>
                    <a:stretch>
                      <a:fillRect/>
                    </a:stretch>
                  </pic:blipFill>
                  <pic:spPr>
                    <a:xfrm>
                      <a:off x="0" y="0"/>
                      <a:ext cx="2211070" cy="2879725"/>
                    </a:xfrm>
                    <a:prstGeom prst="rect">
                      <a:avLst/>
                    </a:prstGeom>
                    <a:noFill/>
                    <a:ln>
                      <a:noFill/>
                    </a:ln>
                  </pic:spPr>
                </pic:pic>
              </a:graphicData>
            </a:graphic>
          </wp:inline>
        </w:drawing>
      </w:r>
    </w:p>
    <w:p w14:paraId="649E66B3">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cs="宋体"/>
          <w:color w:val="auto"/>
          <w:sz w:val="21"/>
          <w:szCs w:val="21"/>
          <w:lang w:val="en-US" w:eastAsia="zh-CN"/>
        </w:rPr>
      </w:pPr>
      <w:r>
        <w:rPr>
          <w:rFonts w:hint="eastAsia" w:cs="宋体"/>
          <w:color w:val="auto"/>
          <w:sz w:val="21"/>
          <w:szCs w:val="21"/>
          <w:lang w:val="en-US" w:eastAsia="zh-CN"/>
        </w:rPr>
        <w:t xml:space="preserve">                   (c)2007年                           (d)2009年</w:t>
      </w:r>
    </w:p>
    <w:p w14:paraId="3B7DAAFF">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color w:val="auto"/>
          <w:sz w:val="21"/>
          <w:szCs w:val="21"/>
        </w:rPr>
        <w:drawing>
          <wp:inline distT="0" distB="0" distL="114300" distR="114300">
            <wp:extent cx="2422525" cy="3157220"/>
            <wp:effectExtent l="0" t="0" r="15875" b="5080"/>
            <wp:docPr id="6" name="图片 13"/>
            <wp:cNvGraphicFramePr/>
            <a:graphic xmlns:a="http://schemas.openxmlformats.org/drawingml/2006/main">
              <a:graphicData uri="http://schemas.openxmlformats.org/drawingml/2006/picture">
                <pic:pic xmlns:pic="http://schemas.openxmlformats.org/drawingml/2006/picture">
                  <pic:nvPicPr>
                    <pic:cNvPr id="6" name="图片 13"/>
                    <pic:cNvPicPr/>
                  </pic:nvPicPr>
                  <pic:blipFill>
                    <a:blip r:embed="rId13"/>
                    <a:stretch>
                      <a:fillRect/>
                    </a:stretch>
                  </pic:blipFill>
                  <pic:spPr>
                    <a:xfrm>
                      <a:off x="0" y="0"/>
                      <a:ext cx="2422525" cy="3157220"/>
                    </a:xfrm>
                    <a:prstGeom prst="rect">
                      <a:avLst/>
                    </a:prstGeom>
                    <a:noFill/>
                    <a:ln>
                      <a:noFill/>
                    </a:ln>
                  </pic:spPr>
                </pic:pic>
              </a:graphicData>
            </a:graphic>
          </wp:inline>
        </w:drawing>
      </w:r>
      <w:r>
        <w:rPr>
          <w:rFonts w:hint="eastAsia" w:ascii="Times New Roman" w:hAnsi="Times New Roman" w:eastAsia="宋体" w:cs="宋体"/>
          <w:color w:val="auto"/>
          <w:sz w:val="21"/>
          <w:szCs w:val="21"/>
        </w:rPr>
        <w:drawing>
          <wp:inline distT="0" distB="0" distL="114300" distR="114300">
            <wp:extent cx="2422525" cy="3157220"/>
            <wp:effectExtent l="0" t="0" r="15875" b="5080"/>
            <wp:docPr id="7" name="图片 14"/>
            <wp:cNvGraphicFramePr/>
            <a:graphic xmlns:a="http://schemas.openxmlformats.org/drawingml/2006/main">
              <a:graphicData uri="http://schemas.openxmlformats.org/drawingml/2006/picture">
                <pic:pic xmlns:pic="http://schemas.openxmlformats.org/drawingml/2006/picture">
                  <pic:nvPicPr>
                    <pic:cNvPr id="7" name="图片 14"/>
                    <pic:cNvPicPr/>
                  </pic:nvPicPr>
                  <pic:blipFill>
                    <a:blip r:embed="rId14"/>
                    <a:stretch>
                      <a:fillRect/>
                    </a:stretch>
                  </pic:blipFill>
                  <pic:spPr>
                    <a:xfrm>
                      <a:off x="0" y="0"/>
                      <a:ext cx="2422525" cy="3157220"/>
                    </a:xfrm>
                    <a:prstGeom prst="rect">
                      <a:avLst/>
                    </a:prstGeom>
                    <a:noFill/>
                    <a:ln>
                      <a:noFill/>
                    </a:ln>
                  </pic:spPr>
                </pic:pic>
              </a:graphicData>
            </a:graphic>
          </wp:inline>
        </w:drawing>
      </w:r>
    </w:p>
    <w:p w14:paraId="03AE517B">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cs="宋体"/>
          <w:color w:val="auto"/>
          <w:sz w:val="21"/>
          <w:szCs w:val="21"/>
          <w:lang w:val="en-US" w:eastAsia="zh-CN"/>
        </w:rPr>
      </w:pPr>
      <w:r>
        <w:rPr>
          <w:rFonts w:hint="eastAsia" w:cs="宋体"/>
          <w:color w:val="auto"/>
          <w:sz w:val="21"/>
          <w:szCs w:val="21"/>
          <w:lang w:val="en-US" w:eastAsia="zh-CN"/>
        </w:rPr>
        <w:t xml:space="preserve">                   (e)2010年                           (f)2014年</w:t>
      </w:r>
    </w:p>
    <w:p w14:paraId="08AE6B55">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color w:val="auto"/>
          <w:sz w:val="21"/>
          <w:szCs w:val="21"/>
        </w:rPr>
        <w:t xml:space="preserve"> </w:t>
      </w:r>
      <w:r>
        <w:rPr>
          <w:rFonts w:hint="eastAsia" w:ascii="Times New Roman" w:hAnsi="Times New Roman" w:eastAsia="宋体" w:cs="宋体"/>
          <w:color w:val="auto"/>
          <w:sz w:val="21"/>
          <w:szCs w:val="21"/>
        </w:rPr>
        <w:drawing>
          <wp:inline distT="0" distB="0" distL="114300" distR="114300">
            <wp:extent cx="2422525" cy="3157220"/>
            <wp:effectExtent l="0" t="0" r="15875" b="5080"/>
            <wp:docPr id="8" name="图片 15"/>
            <wp:cNvGraphicFramePr/>
            <a:graphic xmlns:a="http://schemas.openxmlformats.org/drawingml/2006/main">
              <a:graphicData uri="http://schemas.openxmlformats.org/drawingml/2006/picture">
                <pic:pic xmlns:pic="http://schemas.openxmlformats.org/drawingml/2006/picture">
                  <pic:nvPicPr>
                    <pic:cNvPr id="8" name="图片 15"/>
                    <pic:cNvPicPr/>
                  </pic:nvPicPr>
                  <pic:blipFill>
                    <a:blip r:embed="rId15"/>
                    <a:stretch>
                      <a:fillRect/>
                    </a:stretch>
                  </pic:blipFill>
                  <pic:spPr>
                    <a:xfrm>
                      <a:off x="0" y="0"/>
                      <a:ext cx="2422525" cy="3157220"/>
                    </a:xfrm>
                    <a:prstGeom prst="rect">
                      <a:avLst/>
                    </a:prstGeom>
                    <a:noFill/>
                    <a:ln>
                      <a:noFill/>
                    </a:ln>
                  </pic:spPr>
                </pic:pic>
              </a:graphicData>
            </a:graphic>
          </wp:inline>
        </w:drawing>
      </w:r>
      <w:r>
        <w:rPr>
          <w:rFonts w:hint="eastAsia" w:ascii="Times New Roman" w:hAnsi="Times New Roman" w:eastAsia="宋体" w:cs="宋体"/>
          <w:color w:val="auto"/>
          <w:sz w:val="21"/>
          <w:szCs w:val="21"/>
        </w:rPr>
        <w:drawing>
          <wp:inline distT="0" distB="0" distL="114300" distR="114300">
            <wp:extent cx="2422525" cy="3157220"/>
            <wp:effectExtent l="0" t="0" r="15875" b="5080"/>
            <wp:docPr id="9" name="图片 16"/>
            <wp:cNvGraphicFramePr/>
            <a:graphic xmlns:a="http://schemas.openxmlformats.org/drawingml/2006/main">
              <a:graphicData uri="http://schemas.openxmlformats.org/drawingml/2006/picture">
                <pic:pic xmlns:pic="http://schemas.openxmlformats.org/drawingml/2006/picture">
                  <pic:nvPicPr>
                    <pic:cNvPr id="9" name="图片 16"/>
                    <pic:cNvPicPr/>
                  </pic:nvPicPr>
                  <pic:blipFill>
                    <a:blip r:embed="rId16"/>
                    <a:stretch>
                      <a:fillRect/>
                    </a:stretch>
                  </pic:blipFill>
                  <pic:spPr>
                    <a:xfrm>
                      <a:off x="0" y="0"/>
                      <a:ext cx="2422525" cy="3157220"/>
                    </a:xfrm>
                    <a:prstGeom prst="rect">
                      <a:avLst/>
                    </a:prstGeom>
                    <a:noFill/>
                    <a:ln>
                      <a:noFill/>
                    </a:ln>
                  </pic:spPr>
                </pic:pic>
              </a:graphicData>
            </a:graphic>
          </wp:inline>
        </w:drawing>
      </w:r>
    </w:p>
    <w:p w14:paraId="2BC1B055">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cs="宋体"/>
          <w:color w:val="auto"/>
          <w:sz w:val="21"/>
          <w:szCs w:val="21"/>
          <w:lang w:val="en-US" w:eastAsia="zh-CN"/>
        </w:rPr>
      </w:pPr>
      <w:r>
        <w:rPr>
          <w:rFonts w:hint="eastAsia" w:cs="宋体"/>
          <w:color w:val="auto"/>
          <w:sz w:val="21"/>
          <w:szCs w:val="21"/>
          <w:lang w:val="en-US" w:eastAsia="zh-CN"/>
        </w:rPr>
        <w:t xml:space="preserve">                   (g)2010年                           (h)2014年</w:t>
      </w:r>
    </w:p>
    <w:p w14:paraId="69B66BE7">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图2</w:t>
      </w:r>
      <w:r>
        <w:rPr>
          <w:rFonts w:hint="eastAsia" w:cs="宋体"/>
          <w:b/>
          <w:bCs/>
          <w:color w:val="auto"/>
          <w:sz w:val="21"/>
          <w:szCs w:val="21"/>
          <w:lang w:val="en-US" w:eastAsia="zh-CN"/>
        </w:rPr>
        <w:t xml:space="preserve"> </w:t>
      </w:r>
      <w:r>
        <w:rPr>
          <w:rFonts w:hint="eastAsia" w:ascii="Times New Roman" w:hAnsi="Times New Roman" w:eastAsia="宋体" w:cs="宋体"/>
          <w:b/>
          <w:bCs/>
          <w:color w:val="auto"/>
          <w:sz w:val="21"/>
          <w:szCs w:val="21"/>
        </w:rPr>
        <w:t>2000</w:t>
      </w:r>
      <w:r>
        <w:rPr>
          <w:rFonts w:hint="eastAsia" w:cs="宋体"/>
          <w:b/>
          <w:bCs/>
          <w:color w:val="auto"/>
          <w:sz w:val="21"/>
          <w:szCs w:val="21"/>
          <w:lang w:eastAsia="zh-CN"/>
        </w:rPr>
        <w:t>—</w:t>
      </w:r>
      <w:r>
        <w:rPr>
          <w:rFonts w:hint="eastAsia" w:ascii="Times New Roman" w:hAnsi="Times New Roman" w:eastAsia="宋体" w:cs="宋体"/>
          <w:b/>
          <w:bCs/>
          <w:color w:val="auto"/>
          <w:sz w:val="21"/>
          <w:szCs w:val="21"/>
        </w:rPr>
        <w:t>20</w:t>
      </w:r>
      <w:r>
        <w:rPr>
          <w:rFonts w:hint="eastAsia" w:cs="宋体"/>
          <w:b/>
          <w:bCs/>
          <w:color w:val="auto"/>
          <w:sz w:val="21"/>
          <w:szCs w:val="21"/>
          <w:lang w:val="en-US" w:eastAsia="zh-CN"/>
        </w:rPr>
        <w:t>1</w:t>
      </w:r>
      <w:r>
        <w:rPr>
          <w:rFonts w:hint="eastAsia" w:ascii="Times New Roman" w:hAnsi="Times New Roman" w:eastAsia="宋体" w:cs="宋体"/>
          <w:b/>
          <w:bCs/>
          <w:color w:val="auto"/>
          <w:sz w:val="21"/>
          <w:szCs w:val="21"/>
        </w:rPr>
        <w:t>8年</w:t>
      </w:r>
      <w:r>
        <w:rPr>
          <w:rFonts w:hint="eastAsia" w:cs="宋体"/>
          <w:b/>
          <w:bCs/>
          <w:color w:val="auto"/>
          <w:sz w:val="21"/>
          <w:szCs w:val="21"/>
          <w:lang w:val="en-US" w:eastAsia="zh-CN"/>
        </w:rPr>
        <w:t>不同</w:t>
      </w:r>
      <w:r>
        <w:rPr>
          <w:rFonts w:hint="eastAsia" w:ascii="Times New Roman" w:hAnsi="Times New Roman" w:eastAsia="宋体" w:cs="宋体"/>
          <w:b/>
          <w:bCs/>
          <w:color w:val="auto"/>
          <w:sz w:val="21"/>
          <w:szCs w:val="21"/>
        </w:rPr>
        <w:t>类型植被覆盖度空间分布</w:t>
      </w:r>
    </w:p>
    <w:p w14:paraId="7FFCBCCD">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Tab.2 Spatial pattern of vegetation coverage from 2000 to 2008</w:t>
      </w:r>
    </w:p>
    <w:p w14:paraId="617A5DEA">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3 结果与分析</w:t>
      </w:r>
    </w:p>
    <w:p w14:paraId="5FE6D591">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3</w:t>
      </w:r>
      <w:r>
        <w:rPr>
          <w:rFonts w:hint="eastAsia" w:cs="宋体"/>
          <w:b/>
          <w:bCs/>
          <w:color w:val="auto"/>
          <w:sz w:val="21"/>
          <w:szCs w:val="21"/>
          <w:lang w:val="en-US" w:eastAsia="zh-CN"/>
        </w:rPr>
        <w:t>.</w:t>
      </w:r>
      <w:r>
        <w:rPr>
          <w:rFonts w:hint="eastAsia" w:ascii="Times New Roman" w:hAnsi="Times New Roman" w:eastAsia="宋体" w:cs="宋体"/>
          <w:b/>
          <w:bCs/>
          <w:color w:val="auto"/>
          <w:sz w:val="21"/>
          <w:szCs w:val="21"/>
        </w:rPr>
        <w:t>1</w:t>
      </w:r>
      <w:r>
        <w:rPr>
          <w:rFonts w:hint="eastAsia" w:cs="宋体"/>
          <w:b/>
          <w:bCs/>
          <w:color w:val="auto"/>
          <w:sz w:val="21"/>
          <w:szCs w:val="21"/>
          <w:lang w:val="en-US" w:eastAsia="zh-CN"/>
        </w:rPr>
        <w:t xml:space="preserve"> </w:t>
      </w:r>
      <w:r>
        <w:rPr>
          <w:rFonts w:hint="eastAsia" w:ascii="Times New Roman" w:hAnsi="Times New Roman" w:eastAsia="宋体" w:cs="宋体"/>
          <w:b/>
          <w:bCs/>
          <w:color w:val="auto"/>
          <w:sz w:val="21"/>
          <w:szCs w:val="21"/>
        </w:rPr>
        <w:t>县域内NDVI年际变化及其影响因素探讨</w:t>
      </w:r>
    </w:p>
    <w:p w14:paraId="6E052187">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cs="宋体"/>
          <w:b/>
          <w:bCs/>
          <w:color w:val="auto"/>
          <w:sz w:val="21"/>
          <w:szCs w:val="21"/>
          <w:lang w:val="en-US" w:eastAsia="zh-CN"/>
        </w:rPr>
        <w:t xml:space="preserve">3.1.1 </w:t>
      </w:r>
      <w:r>
        <w:rPr>
          <w:rFonts w:hint="eastAsia" w:ascii="Times New Roman" w:hAnsi="Times New Roman" w:eastAsia="宋体" w:cs="宋体"/>
          <w:b/>
          <w:bCs/>
          <w:color w:val="auto"/>
          <w:sz w:val="21"/>
          <w:szCs w:val="21"/>
        </w:rPr>
        <w:t>NDVI年际变化</w:t>
      </w:r>
    </w:p>
    <w:p w14:paraId="1B2229CE">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kern w:val="0"/>
          <w:sz w:val="21"/>
          <w:szCs w:val="21"/>
        </w:rPr>
      </w:pPr>
      <w:commentRangeStart w:id="24"/>
      <w:r>
        <w:rPr>
          <w:rFonts w:hint="eastAsia" w:ascii="Times New Roman" w:hAnsi="Times New Roman" w:eastAsia="宋体" w:cs="宋体"/>
          <w:color w:val="auto"/>
          <w:sz w:val="21"/>
          <w:szCs w:val="21"/>
        </w:rPr>
        <w:t>研究区2000</w:t>
      </w:r>
      <w:r>
        <w:rPr>
          <w:rFonts w:hint="eastAsia" w:cs="宋体"/>
          <w:color w:val="auto"/>
          <w:sz w:val="21"/>
          <w:szCs w:val="21"/>
          <w:lang w:eastAsia="zh-CN"/>
        </w:rPr>
        <w:t>—</w:t>
      </w:r>
      <w:r>
        <w:rPr>
          <w:rFonts w:hint="eastAsia" w:ascii="Times New Roman" w:hAnsi="Times New Roman" w:eastAsia="宋体" w:cs="宋体"/>
          <w:color w:val="auto"/>
          <w:sz w:val="21"/>
          <w:szCs w:val="21"/>
        </w:rPr>
        <w:t>2018年春季NDVI平均值表明，研究区年均NDVI值在</w:t>
      </w:r>
      <w:r>
        <w:rPr>
          <w:rFonts w:hint="eastAsia" w:ascii="Times New Roman" w:hAnsi="Times New Roman" w:eastAsia="宋体" w:cs="宋体"/>
          <w:color w:val="auto"/>
          <w:kern w:val="0"/>
          <w:sz w:val="21"/>
          <w:szCs w:val="21"/>
        </w:rPr>
        <w:t>0.547</w:t>
      </w:r>
      <w:r>
        <w:rPr>
          <w:rFonts w:hint="eastAsia" w:cs="宋体"/>
          <w:color w:val="auto"/>
          <w:kern w:val="0"/>
          <w:sz w:val="21"/>
          <w:szCs w:val="21"/>
          <w:lang w:val="en-US" w:eastAsia="zh-CN"/>
        </w:rPr>
        <w:t>~</w:t>
      </w:r>
      <w:r>
        <w:rPr>
          <w:rFonts w:hint="eastAsia" w:ascii="Times New Roman" w:hAnsi="Times New Roman" w:eastAsia="宋体" w:cs="宋体"/>
          <w:color w:val="auto"/>
          <w:kern w:val="0"/>
          <w:sz w:val="21"/>
          <w:szCs w:val="21"/>
        </w:rPr>
        <w:t>0.614之间波动（图3），2009年</w:t>
      </w:r>
      <w:r>
        <w:rPr>
          <w:rFonts w:hint="eastAsia" w:cs="宋体"/>
          <w:color w:val="auto"/>
          <w:kern w:val="0"/>
          <w:sz w:val="21"/>
          <w:szCs w:val="21"/>
          <w:lang w:val="en-US" w:eastAsia="zh-CN"/>
        </w:rPr>
        <w:t>NDVI值</w:t>
      </w:r>
      <w:r>
        <w:rPr>
          <w:rFonts w:hint="eastAsia" w:ascii="Times New Roman" w:hAnsi="Times New Roman" w:eastAsia="宋体" w:cs="宋体"/>
          <w:color w:val="auto"/>
          <w:kern w:val="0"/>
          <w:sz w:val="21"/>
          <w:szCs w:val="21"/>
        </w:rPr>
        <w:t>最高为0.614，2014年最低为0.547。2000</w:t>
      </w:r>
      <w:r>
        <w:rPr>
          <w:rFonts w:hint="eastAsia" w:cs="宋体"/>
          <w:color w:val="auto"/>
          <w:kern w:val="0"/>
          <w:sz w:val="21"/>
          <w:szCs w:val="21"/>
          <w:lang w:eastAsia="zh-CN"/>
        </w:rPr>
        <w:t>—</w:t>
      </w:r>
      <w:r>
        <w:rPr>
          <w:rFonts w:hint="eastAsia" w:ascii="Times New Roman" w:hAnsi="Times New Roman" w:eastAsia="宋体" w:cs="宋体"/>
          <w:color w:val="auto"/>
          <w:kern w:val="0"/>
          <w:sz w:val="21"/>
          <w:szCs w:val="21"/>
        </w:rPr>
        <w:t>2009年间</w:t>
      </w:r>
      <w:r>
        <w:rPr>
          <w:rFonts w:hint="eastAsia" w:cs="宋体"/>
          <w:color w:val="auto"/>
          <w:kern w:val="0"/>
          <w:sz w:val="21"/>
          <w:szCs w:val="21"/>
          <w:lang w:val="en-US" w:eastAsia="zh-CN"/>
        </w:rPr>
        <w:t>NDVI值</w:t>
      </w:r>
      <w:r>
        <w:rPr>
          <w:rFonts w:hint="eastAsia" w:ascii="Times New Roman" w:hAnsi="Times New Roman" w:eastAsia="宋体" w:cs="宋体"/>
          <w:color w:val="auto"/>
          <w:kern w:val="0"/>
          <w:sz w:val="21"/>
          <w:szCs w:val="21"/>
        </w:rPr>
        <w:t>呈线性增加趋势；2009</w:t>
      </w:r>
      <w:r>
        <w:rPr>
          <w:rFonts w:hint="eastAsia" w:cs="宋体"/>
          <w:color w:val="auto"/>
          <w:kern w:val="0"/>
          <w:sz w:val="21"/>
          <w:szCs w:val="21"/>
          <w:lang w:eastAsia="zh-CN"/>
        </w:rPr>
        <w:t>—</w:t>
      </w:r>
      <w:r>
        <w:rPr>
          <w:rFonts w:hint="eastAsia" w:ascii="Times New Roman" w:hAnsi="Times New Roman" w:eastAsia="宋体" w:cs="宋体"/>
          <w:color w:val="auto"/>
          <w:kern w:val="0"/>
          <w:sz w:val="21"/>
          <w:szCs w:val="21"/>
        </w:rPr>
        <w:t>2014年间</w:t>
      </w:r>
      <w:r>
        <w:rPr>
          <w:rFonts w:hint="eastAsia" w:cs="宋体"/>
          <w:color w:val="auto"/>
          <w:kern w:val="0"/>
          <w:sz w:val="21"/>
          <w:szCs w:val="21"/>
          <w:lang w:val="en-US" w:eastAsia="zh-CN"/>
        </w:rPr>
        <w:t>NDVI值</w:t>
      </w:r>
      <w:r>
        <w:rPr>
          <w:rFonts w:hint="eastAsia" w:ascii="Times New Roman" w:hAnsi="Times New Roman" w:eastAsia="宋体" w:cs="宋体"/>
          <w:color w:val="auto"/>
          <w:kern w:val="0"/>
          <w:sz w:val="21"/>
          <w:szCs w:val="21"/>
        </w:rPr>
        <w:t>呈线性减小</w:t>
      </w:r>
      <w:r>
        <w:rPr>
          <w:rFonts w:hint="eastAsia" w:cs="宋体"/>
          <w:color w:val="auto"/>
          <w:kern w:val="0"/>
          <w:sz w:val="21"/>
          <w:szCs w:val="21"/>
          <w:lang w:val="en-US" w:eastAsia="zh-CN"/>
        </w:rPr>
        <w:t>趋势</w:t>
      </w:r>
      <w:r>
        <w:rPr>
          <w:rFonts w:hint="eastAsia" w:ascii="Times New Roman" w:hAnsi="Times New Roman" w:eastAsia="宋体" w:cs="宋体"/>
          <w:color w:val="auto"/>
          <w:kern w:val="0"/>
          <w:sz w:val="21"/>
          <w:szCs w:val="21"/>
        </w:rPr>
        <w:t>，2014</w:t>
      </w:r>
      <w:r>
        <w:rPr>
          <w:rFonts w:hint="eastAsia" w:cs="宋体"/>
          <w:color w:val="auto"/>
          <w:kern w:val="0"/>
          <w:sz w:val="21"/>
          <w:szCs w:val="21"/>
          <w:lang w:eastAsia="zh-CN"/>
        </w:rPr>
        <w:t>—</w:t>
      </w:r>
      <w:r>
        <w:rPr>
          <w:rFonts w:hint="eastAsia" w:ascii="Times New Roman" w:hAnsi="Times New Roman" w:eastAsia="宋体" w:cs="宋体"/>
          <w:color w:val="auto"/>
          <w:kern w:val="0"/>
          <w:sz w:val="21"/>
          <w:szCs w:val="21"/>
        </w:rPr>
        <w:t>2018年间</w:t>
      </w:r>
      <w:r>
        <w:rPr>
          <w:rFonts w:hint="eastAsia" w:cs="宋体"/>
          <w:color w:val="auto"/>
          <w:kern w:val="0"/>
          <w:sz w:val="21"/>
          <w:szCs w:val="21"/>
          <w:lang w:val="en-US" w:eastAsia="zh-CN"/>
        </w:rPr>
        <w:t>NDVI值</w:t>
      </w:r>
      <w:r>
        <w:rPr>
          <w:rFonts w:hint="eastAsia" w:ascii="Times New Roman" w:hAnsi="Times New Roman" w:eastAsia="宋体" w:cs="宋体"/>
          <w:color w:val="auto"/>
          <w:kern w:val="0"/>
          <w:sz w:val="21"/>
          <w:szCs w:val="21"/>
        </w:rPr>
        <w:t>又</w:t>
      </w:r>
      <w:r>
        <w:rPr>
          <w:rFonts w:hint="eastAsia" w:cs="宋体"/>
          <w:color w:val="auto"/>
          <w:kern w:val="0"/>
          <w:sz w:val="21"/>
          <w:szCs w:val="21"/>
          <w:lang w:val="en-US" w:eastAsia="zh-CN"/>
        </w:rPr>
        <w:t>呈</w:t>
      </w:r>
      <w:r>
        <w:rPr>
          <w:rFonts w:hint="eastAsia" w:ascii="Times New Roman" w:hAnsi="Times New Roman" w:eastAsia="宋体" w:cs="宋体"/>
          <w:color w:val="auto"/>
          <w:kern w:val="0"/>
          <w:sz w:val="21"/>
          <w:szCs w:val="21"/>
        </w:rPr>
        <w:t>线性</w:t>
      </w:r>
      <w:r>
        <w:rPr>
          <w:rFonts w:hint="eastAsia" w:cs="宋体"/>
          <w:color w:val="auto"/>
          <w:kern w:val="0"/>
          <w:sz w:val="21"/>
          <w:szCs w:val="21"/>
          <w:lang w:val="en-US" w:eastAsia="zh-CN"/>
        </w:rPr>
        <w:t>增长</w:t>
      </w:r>
      <w:r>
        <w:rPr>
          <w:rFonts w:hint="eastAsia" w:ascii="Times New Roman" w:hAnsi="Times New Roman" w:eastAsia="宋体" w:cs="宋体"/>
          <w:color w:val="auto"/>
          <w:kern w:val="0"/>
          <w:sz w:val="21"/>
          <w:szCs w:val="21"/>
        </w:rPr>
        <w:t>趋势，2018年</w:t>
      </w:r>
      <w:r>
        <w:rPr>
          <w:rFonts w:hint="eastAsia" w:cs="宋体"/>
          <w:color w:val="auto"/>
          <w:kern w:val="0"/>
          <w:sz w:val="21"/>
          <w:szCs w:val="21"/>
          <w:lang w:val="en-US" w:eastAsia="zh-CN"/>
        </w:rPr>
        <w:t>NDVI值</w:t>
      </w:r>
      <w:r>
        <w:rPr>
          <w:rFonts w:hint="eastAsia" w:ascii="Times New Roman" w:hAnsi="Times New Roman" w:eastAsia="宋体" w:cs="宋体"/>
          <w:color w:val="auto"/>
          <w:kern w:val="0"/>
          <w:sz w:val="21"/>
          <w:szCs w:val="21"/>
        </w:rPr>
        <w:t>增</w:t>
      </w:r>
      <w:r>
        <w:rPr>
          <w:rFonts w:hint="eastAsia" w:cs="宋体"/>
          <w:color w:val="auto"/>
          <w:kern w:val="0"/>
          <w:sz w:val="21"/>
          <w:szCs w:val="21"/>
          <w:lang w:val="en-US" w:eastAsia="zh-CN"/>
        </w:rPr>
        <w:t>长</w:t>
      </w:r>
      <w:r>
        <w:rPr>
          <w:rFonts w:hint="eastAsia" w:ascii="Times New Roman" w:hAnsi="Times New Roman" w:eastAsia="宋体" w:cs="宋体"/>
          <w:color w:val="auto"/>
          <w:kern w:val="0"/>
          <w:sz w:val="21"/>
          <w:szCs w:val="21"/>
        </w:rPr>
        <w:t>到0.606。</w:t>
      </w:r>
    </w:p>
    <w:p w14:paraId="614C860D">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color w:val="auto"/>
          <w:sz w:val="21"/>
          <w:szCs w:val="21"/>
        </w:rPr>
        <w:t>研究期间</w:t>
      </w:r>
      <w:r>
        <w:rPr>
          <w:rFonts w:hint="eastAsia" w:cs="宋体"/>
          <w:color w:val="auto"/>
          <w:sz w:val="21"/>
          <w:szCs w:val="21"/>
          <w:lang w:eastAsia="zh-CN"/>
        </w:rPr>
        <w:t>，</w:t>
      </w:r>
      <w:r>
        <w:rPr>
          <w:rFonts w:hint="eastAsia" w:ascii="Times New Roman" w:hAnsi="Times New Roman" w:eastAsia="宋体" w:cs="宋体"/>
          <w:color w:val="auto"/>
          <w:sz w:val="21"/>
          <w:szCs w:val="21"/>
        </w:rPr>
        <w:t>易门县域内大部分区域的NDVI值高于0.5</w:t>
      </w:r>
      <w:r>
        <w:rPr>
          <w:rFonts w:hint="eastAsia" w:cs="宋体"/>
          <w:color w:val="auto"/>
          <w:sz w:val="21"/>
          <w:szCs w:val="21"/>
          <w:lang w:eastAsia="zh-CN"/>
        </w:rPr>
        <w:t>，</w:t>
      </w:r>
      <w:r>
        <w:rPr>
          <w:rFonts w:hint="eastAsia" w:ascii="Times New Roman" w:hAnsi="Times New Roman" w:eastAsia="宋体" w:cs="宋体"/>
          <w:color w:val="auto"/>
          <w:sz w:val="21"/>
          <w:szCs w:val="21"/>
        </w:rPr>
        <w:t>不同植被覆盖度面积占比</w:t>
      </w:r>
      <w:r>
        <w:rPr>
          <w:rFonts w:hint="eastAsia" w:cs="宋体"/>
          <w:color w:val="auto"/>
          <w:sz w:val="21"/>
          <w:szCs w:val="21"/>
          <w:lang w:eastAsia="zh-CN"/>
        </w:rPr>
        <w:t>（</w:t>
      </w:r>
      <w:r>
        <w:rPr>
          <w:rFonts w:hint="eastAsia" w:ascii="Times New Roman" w:hAnsi="Times New Roman" w:eastAsia="宋体" w:cs="宋体"/>
          <w:color w:val="auto"/>
          <w:sz w:val="21"/>
          <w:szCs w:val="21"/>
        </w:rPr>
        <w:t>占研究区土地面积的比例</w:t>
      </w:r>
      <w:r>
        <w:rPr>
          <w:rFonts w:hint="eastAsia" w:cs="宋体"/>
          <w:color w:val="auto"/>
          <w:sz w:val="21"/>
          <w:szCs w:val="21"/>
          <w:lang w:eastAsia="zh-CN"/>
        </w:rPr>
        <w:t>）</w:t>
      </w:r>
      <w:r>
        <w:rPr>
          <w:rFonts w:hint="eastAsia" w:ascii="Times New Roman" w:hAnsi="Times New Roman" w:eastAsia="宋体" w:cs="宋体"/>
          <w:color w:val="auto"/>
          <w:sz w:val="21"/>
          <w:szCs w:val="21"/>
        </w:rPr>
        <w:t>)变化差异较大</w:t>
      </w:r>
      <w:r>
        <w:rPr>
          <w:rFonts w:hint="eastAsia" w:cs="宋体"/>
          <w:color w:val="auto"/>
          <w:sz w:val="21"/>
          <w:szCs w:val="21"/>
          <w:lang w:eastAsia="zh-CN"/>
        </w:rPr>
        <w:t>（</w:t>
      </w:r>
      <w:r>
        <w:rPr>
          <w:rFonts w:hint="eastAsia" w:ascii="Times New Roman" w:hAnsi="Times New Roman" w:eastAsia="宋体" w:cs="宋体"/>
          <w:color w:val="auto"/>
          <w:sz w:val="21"/>
          <w:szCs w:val="21"/>
        </w:rPr>
        <w:t>图3</w:t>
      </w:r>
      <w:r>
        <w:rPr>
          <w:rFonts w:hint="eastAsia" w:cs="宋体"/>
          <w:color w:val="auto"/>
          <w:sz w:val="21"/>
          <w:szCs w:val="21"/>
          <w:lang w:eastAsia="zh-CN"/>
        </w:rPr>
        <w:t>）</w:t>
      </w:r>
      <w:r>
        <w:rPr>
          <w:rFonts w:hint="eastAsia" w:ascii="Times New Roman" w:hAnsi="Times New Roman" w:eastAsia="宋体" w:cs="宋体"/>
          <w:color w:val="auto"/>
          <w:sz w:val="21"/>
          <w:szCs w:val="21"/>
        </w:rPr>
        <w:t>。县域内无植被覆盖区域的面积</w:t>
      </w:r>
      <w:r>
        <w:rPr>
          <w:rFonts w:hint="eastAsia" w:cs="宋体"/>
          <w:color w:val="auto"/>
          <w:sz w:val="21"/>
          <w:szCs w:val="21"/>
          <w:lang w:val="en-US" w:eastAsia="zh-CN"/>
        </w:rPr>
        <w:t>占比</w:t>
      </w:r>
      <w:r>
        <w:rPr>
          <w:rFonts w:hint="eastAsia" w:ascii="Times New Roman" w:hAnsi="Times New Roman" w:eastAsia="宋体" w:cs="宋体"/>
          <w:color w:val="auto"/>
          <w:sz w:val="21"/>
          <w:szCs w:val="21"/>
        </w:rPr>
        <w:t>在0.03%~0.17%之间波动，以2010年为拐点，由2000年的0.14%降低至2010年的0.03%，而后线性</w:t>
      </w:r>
      <w:r>
        <w:rPr>
          <w:rFonts w:hint="eastAsia" w:cs="宋体"/>
          <w:color w:val="auto"/>
          <w:sz w:val="21"/>
          <w:szCs w:val="21"/>
          <w:lang w:val="en-US" w:eastAsia="zh-CN"/>
        </w:rPr>
        <w:t>增长</w:t>
      </w:r>
      <w:r>
        <w:rPr>
          <w:rFonts w:hint="eastAsia" w:ascii="Times New Roman" w:hAnsi="Times New Roman" w:eastAsia="宋体" w:cs="宋体"/>
          <w:color w:val="auto"/>
          <w:sz w:val="21"/>
          <w:szCs w:val="21"/>
        </w:rPr>
        <w:t>至2018年的0.17%；低植被覆盖度面积比例呈波动增加趋势，2000</w:t>
      </w:r>
      <w:r>
        <w:rPr>
          <w:rFonts w:hint="eastAsia" w:cs="宋体"/>
          <w:color w:val="auto"/>
          <w:sz w:val="21"/>
          <w:szCs w:val="21"/>
          <w:lang w:eastAsia="zh-CN"/>
        </w:rPr>
        <w:t>—</w:t>
      </w:r>
      <w:r>
        <w:rPr>
          <w:rFonts w:hint="eastAsia" w:ascii="Times New Roman" w:hAnsi="Times New Roman" w:eastAsia="宋体" w:cs="宋体"/>
          <w:color w:val="auto"/>
          <w:sz w:val="21"/>
          <w:szCs w:val="21"/>
        </w:rPr>
        <w:t>2007年由0.65%降至0.40%，随后</w:t>
      </w:r>
      <w:r>
        <w:rPr>
          <w:rFonts w:hint="eastAsia" w:cs="宋体"/>
          <w:color w:val="auto"/>
          <w:sz w:val="21"/>
          <w:szCs w:val="21"/>
          <w:lang w:val="en-US" w:eastAsia="zh-CN"/>
        </w:rPr>
        <w:t>增长</w:t>
      </w:r>
      <w:r>
        <w:rPr>
          <w:rFonts w:hint="eastAsia" w:ascii="Times New Roman" w:hAnsi="Times New Roman" w:eastAsia="宋体" w:cs="宋体"/>
          <w:color w:val="auto"/>
          <w:sz w:val="21"/>
          <w:szCs w:val="21"/>
        </w:rPr>
        <w:t>，2014年达到最大值（2.33%），</w:t>
      </w:r>
      <w:r>
        <w:rPr>
          <w:rFonts w:hint="eastAsia" w:cs="宋体"/>
          <w:color w:val="auto"/>
          <w:sz w:val="21"/>
          <w:szCs w:val="21"/>
          <w:lang w:val="en-US" w:eastAsia="zh-CN"/>
        </w:rPr>
        <w:t>而</w:t>
      </w:r>
      <w:r>
        <w:rPr>
          <w:rFonts w:hint="eastAsia" w:ascii="Times New Roman" w:hAnsi="Times New Roman" w:eastAsia="宋体" w:cs="宋体"/>
          <w:color w:val="auto"/>
          <w:sz w:val="21"/>
          <w:szCs w:val="21"/>
        </w:rPr>
        <w:t>2016和2018年又降至1.29%；中低覆盖度面积</w:t>
      </w:r>
      <w:r>
        <w:rPr>
          <w:rFonts w:hint="eastAsia" w:cs="宋体"/>
          <w:color w:val="auto"/>
          <w:sz w:val="21"/>
          <w:szCs w:val="21"/>
          <w:lang w:val="en-US" w:eastAsia="zh-CN"/>
        </w:rPr>
        <w:t>占比</w:t>
      </w:r>
      <w:r>
        <w:rPr>
          <w:rFonts w:hint="eastAsia" w:ascii="Times New Roman" w:hAnsi="Times New Roman" w:eastAsia="宋体" w:cs="宋体"/>
          <w:color w:val="auto"/>
          <w:sz w:val="21"/>
          <w:szCs w:val="21"/>
        </w:rPr>
        <w:t>（3.50%~9.91%）</w:t>
      </w:r>
      <w:r>
        <w:rPr>
          <w:rFonts w:hint="eastAsia" w:cs="宋体"/>
          <w:color w:val="auto"/>
          <w:sz w:val="21"/>
          <w:szCs w:val="21"/>
          <w:lang w:val="en-US" w:eastAsia="zh-CN"/>
        </w:rPr>
        <w:t>呈</w:t>
      </w:r>
      <w:r>
        <w:rPr>
          <w:rFonts w:hint="eastAsia" w:ascii="Times New Roman" w:hAnsi="Times New Roman" w:eastAsia="宋体" w:cs="宋体"/>
          <w:color w:val="auto"/>
          <w:sz w:val="21"/>
          <w:szCs w:val="21"/>
        </w:rPr>
        <w:t>先降低后</w:t>
      </w:r>
      <w:r>
        <w:rPr>
          <w:rFonts w:hint="eastAsia" w:cs="宋体"/>
          <w:color w:val="auto"/>
          <w:sz w:val="21"/>
          <w:szCs w:val="21"/>
          <w:lang w:val="en-US" w:eastAsia="zh-CN"/>
        </w:rPr>
        <w:t>增长趋势</w:t>
      </w:r>
      <w:r>
        <w:rPr>
          <w:rFonts w:hint="eastAsia" w:ascii="Times New Roman" w:hAnsi="Times New Roman" w:eastAsia="宋体" w:cs="宋体"/>
          <w:color w:val="auto"/>
          <w:sz w:val="21"/>
          <w:szCs w:val="21"/>
        </w:rPr>
        <w:t>，2000</w:t>
      </w:r>
      <w:r>
        <w:rPr>
          <w:rFonts w:hint="eastAsia" w:cs="宋体"/>
          <w:color w:val="auto"/>
          <w:sz w:val="21"/>
          <w:szCs w:val="21"/>
          <w:lang w:eastAsia="zh-CN"/>
        </w:rPr>
        <w:t>—</w:t>
      </w:r>
      <w:r>
        <w:rPr>
          <w:rFonts w:hint="eastAsia" w:ascii="Times New Roman" w:hAnsi="Times New Roman" w:eastAsia="宋体" w:cs="宋体"/>
          <w:color w:val="auto"/>
          <w:sz w:val="21"/>
          <w:szCs w:val="21"/>
        </w:rPr>
        <w:t>2009年由2000年的6.27%</w:t>
      </w:r>
      <w:r>
        <w:rPr>
          <w:rFonts w:hint="eastAsia" w:cs="宋体"/>
          <w:color w:val="auto"/>
          <w:sz w:val="21"/>
          <w:szCs w:val="21"/>
          <w:lang w:val="en-US" w:eastAsia="zh-CN"/>
        </w:rPr>
        <w:t>降</w:t>
      </w:r>
      <w:r>
        <w:rPr>
          <w:rFonts w:hint="eastAsia" w:ascii="Times New Roman" w:hAnsi="Times New Roman" w:eastAsia="宋体" w:cs="宋体"/>
          <w:color w:val="auto"/>
          <w:sz w:val="21"/>
          <w:szCs w:val="21"/>
        </w:rPr>
        <w:t>至2009年的3.50%，2010年</w:t>
      </w:r>
      <w:r>
        <w:rPr>
          <w:rFonts w:hint="eastAsia" w:cs="宋体"/>
          <w:color w:val="auto"/>
          <w:sz w:val="21"/>
          <w:szCs w:val="21"/>
          <w:lang w:val="en-US" w:eastAsia="zh-CN"/>
        </w:rPr>
        <w:t>达到最大值为</w:t>
      </w:r>
      <w:r>
        <w:rPr>
          <w:rFonts w:hint="eastAsia" w:ascii="Times New Roman" w:hAnsi="Times New Roman" w:eastAsia="宋体" w:cs="宋体"/>
          <w:color w:val="auto"/>
          <w:sz w:val="21"/>
          <w:szCs w:val="21"/>
        </w:rPr>
        <w:t>9.91%，之后线性降低</w:t>
      </w:r>
      <w:r>
        <w:rPr>
          <w:rFonts w:hint="eastAsia" w:cs="宋体"/>
          <w:color w:val="auto"/>
          <w:sz w:val="21"/>
          <w:szCs w:val="21"/>
          <w:lang w:val="en-US" w:eastAsia="zh-CN"/>
        </w:rPr>
        <w:t>至</w:t>
      </w:r>
      <w:r>
        <w:rPr>
          <w:rFonts w:hint="eastAsia" w:ascii="Times New Roman" w:hAnsi="Times New Roman" w:eastAsia="宋体" w:cs="宋体"/>
          <w:color w:val="auto"/>
          <w:sz w:val="21"/>
          <w:szCs w:val="21"/>
        </w:rPr>
        <w:t>2018年的4.54%；</w:t>
      </w:r>
      <w:r>
        <w:rPr>
          <w:rFonts w:hint="eastAsia" w:cs="宋体"/>
          <w:color w:val="auto"/>
          <w:sz w:val="21"/>
          <w:szCs w:val="21"/>
          <w:lang w:val="en-US" w:eastAsia="zh-CN"/>
        </w:rPr>
        <w:t>不同</w:t>
      </w:r>
      <w:r>
        <w:rPr>
          <w:rFonts w:hint="eastAsia" w:ascii="Times New Roman" w:hAnsi="Times New Roman" w:eastAsia="宋体" w:cs="宋体"/>
          <w:color w:val="auto"/>
          <w:sz w:val="21"/>
          <w:szCs w:val="21"/>
        </w:rPr>
        <w:t>年份中植被覆盖面积</w:t>
      </w:r>
      <w:r>
        <w:rPr>
          <w:rFonts w:hint="eastAsia" w:cs="宋体"/>
          <w:color w:val="auto"/>
          <w:sz w:val="21"/>
          <w:szCs w:val="21"/>
          <w:lang w:val="en-US" w:eastAsia="zh-CN"/>
        </w:rPr>
        <w:t>占比的</w:t>
      </w:r>
      <w:r>
        <w:rPr>
          <w:rFonts w:hint="eastAsia" w:ascii="Times New Roman" w:hAnsi="Times New Roman" w:eastAsia="宋体" w:cs="宋体"/>
          <w:color w:val="auto"/>
          <w:sz w:val="21"/>
          <w:szCs w:val="21"/>
        </w:rPr>
        <w:t>变化范围为18.92%~28.26%，以2010年为拐点，2000</w:t>
      </w:r>
      <w:r>
        <w:rPr>
          <w:rFonts w:hint="eastAsia" w:cs="宋体"/>
          <w:color w:val="auto"/>
          <w:sz w:val="21"/>
          <w:szCs w:val="21"/>
          <w:lang w:eastAsia="zh-CN"/>
        </w:rPr>
        <w:t>—</w:t>
      </w:r>
      <w:r>
        <w:rPr>
          <w:rFonts w:hint="eastAsia" w:ascii="Times New Roman" w:hAnsi="Times New Roman" w:eastAsia="宋体" w:cs="宋体"/>
          <w:color w:val="auto"/>
          <w:sz w:val="21"/>
          <w:szCs w:val="21"/>
        </w:rPr>
        <w:t>2009年和2010</w:t>
      </w:r>
      <w:r>
        <w:rPr>
          <w:rFonts w:hint="eastAsia" w:cs="宋体"/>
          <w:color w:val="auto"/>
          <w:sz w:val="21"/>
          <w:szCs w:val="21"/>
          <w:lang w:eastAsia="zh-CN"/>
        </w:rPr>
        <w:t>—</w:t>
      </w:r>
      <w:r>
        <w:rPr>
          <w:rFonts w:hint="eastAsia" w:ascii="Times New Roman" w:hAnsi="Times New Roman" w:eastAsia="宋体" w:cs="宋体"/>
          <w:color w:val="auto"/>
          <w:sz w:val="21"/>
          <w:szCs w:val="21"/>
        </w:rPr>
        <w:t>2018年均呈降低趋势；2000</w:t>
      </w:r>
      <w:r>
        <w:rPr>
          <w:rFonts w:hint="eastAsia" w:cs="宋体"/>
          <w:color w:val="auto"/>
          <w:sz w:val="21"/>
          <w:szCs w:val="21"/>
          <w:lang w:eastAsia="zh-CN"/>
        </w:rPr>
        <w:t>—</w:t>
      </w:r>
      <w:r>
        <w:rPr>
          <w:rFonts w:hint="eastAsia" w:ascii="Times New Roman" w:hAnsi="Times New Roman" w:eastAsia="宋体" w:cs="宋体"/>
          <w:color w:val="auto"/>
          <w:sz w:val="21"/>
          <w:szCs w:val="21"/>
        </w:rPr>
        <w:t>2018年高覆盖面积</w:t>
      </w:r>
      <w:r>
        <w:rPr>
          <w:rFonts w:hint="eastAsia" w:cs="宋体"/>
          <w:color w:val="auto"/>
          <w:sz w:val="21"/>
          <w:szCs w:val="21"/>
          <w:lang w:val="en-US" w:eastAsia="zh-CN"/>
        </w:rPr>
        <w:t>占比</w:t>
      </w:r>
      <w:r>
        <w:rPr>
          <w:rFonts w:hint="eastAsia" w:ascii="Times New Roman" w:hAnsi="Times New Roman" w:eastAsia="宋体" w:cs="宋体"/>
          <w:color w:val="auto"/>
          <w:sz w:val="21"/>
          <w:szCs w:val="21"/>
        </w:rPr>
        <w:t>呈波动变化</w:t>
      </w:r>
      <w:r>
        <w:rPr>
          <w:rFonts w:hint="eastAsia" w:cs="宋体"/>
          <w:color w:val="auto"/>
          <w:sz w:val="21"/>
          <w:szCs w:val="21"/>
          <w:lang w:val="en-US" w:eastAsia="zh-CN"/>
        </w:rPr>
        <w:t>趋势</w:t>
      </w:r>
      <w:r>
        <w:rPr>
          <w:rFonts w:hint="eastAsia" w:ascii="Times New Roman" w:hAnsi="Times New Roman" w:eastAsia="宋体" w:cs="宋体"/>
          <w:color w:val="auto"/>
          <w:sz w:val="21"/>
          <w:szCs w:val="21"/>
        </w:rPr>
        <w:t>，2000</w:t>
      </w:r>
      <w:r>
        <w:rPr>
          <w:rFonts w:hint="eastAsia" w:cs="宋体"/>
          <w:color w:val="auto"/>
          <w:sz w:val="21"/>
          <w:szCs w:val="21"/>
          <w:lang w:eastAsia="zh-CN"/>
        </w:rPr>
        <w:t>—</w:t>
      </w:r>
      <w:r>
        <w:rPr>
          <w:rFonts w:hint="eastAsia" w:ascii="Times New Roman" w:hAnsi="Times New Roman" w:eastAsia="宋体" w:cs="宋体"/>
          <w:color w:val="auto"/>
          <w:sz w:val="21"/>
          <w:szCs w:val="21"/>
        </w:rPr>
        <w:t>2016年均</w:t>
      </w:r>
      <w:r>
        <w:rPr>
          <w:rFonts w:hint="eastAsia" w:cs="宋体"/>
          <w:color w:val="auto"/>
          <w:sz w:val="21"/>
          <w:szCs w:val="21"/>
          <w:lang w:val="en-US" w:eastAsia="zh-CN"/>
        </w:rPr>
        <w:t>达最大值</w:t>
      </w:r>
      <w:r>
        <w:rPr>
          <w:rFonts w:hint="eastAsia" w:ascii="Times New Roman" w:hAnsi="Times New Roman" w:eastAsia="宋体" w:cs="宋体"/>
          <w:color w:val="auto"/>
          <w:sz w:val="21"/>
          <w:szCs w:val="21"/>
        </w:rPr>
        <w:t>，且在35%以上，其中2000年最高为46.41%，仅2018年为33.83%；全覆盖植被区域面积</w:t>
      </w:r>
      <w:r>
        <w:rPr>
          <w:rFonts w:hint="eastAsia" w:cs="宋体"/>
          <w:color w:val="auto"/>
          <w:sz w:val="21"/>
          <w:szCs w:val="21"/>
          <w:lang w:val="en-US" w:eastAsia="zh-CN"/>
        </w:rPr>
        <w:t>占比</w:t>
      </w:r>
      <w:r>
        <w:rPr>
          <w:rFonts w:hint="eastAsia" w:ascii="Times New Roman" w:hAnsi="Times New Roman" w:eastAsia="宋体" w:cs="宋体"/>
          <w:color w:val="auto"/>
          <w:sz w:val="21"/>
          <w:szCs w:val="21"/>
        </w:rPr>
        <w:t>在2000</w:t>
      </w:r>
      <w:r>
        <w:rPr>
          <w:rFonts w:hint="eastAsia" w:cs="宋体"/>
          <w:color w:val="auto"/>
          <w:sz w:val="21"/>
          <w:szCs w:val="21"/>
          <w:lang w:eastAsia="zh-CN"/>
        </w:rPr>
        <w:t>—</w:t>
      </w:r>
      <w:r>
        <w:rPr>
          <w:rFonts w:hint="eastAsia" w:ascii="Times New Roman" w:hAnsi="Times New Roman" w:eastAsia="宋体" w:cs="宋体"/>
          <w:color w:val="auto"/>
          <w:sz w:val="21"/>
          <w:szCs w:val="21"/>
        </w:rPr>
        <w:t>2009年间呈</w:t>
      </w:r>
      <w:r>
        <w:rPr>
          <w:rFonts w:hint="eastAsia" w:cs="宋体"/>
          <w:color w:val="auto"/>
          <w:sz w:val="21"/>
          <w:szCs w:val="21"/>
          <w:lang w:val="en-US" w:eastAsia="zh-CN"/>
        </w:rPr>
        <w:t>增长</w:t>
      </w:r>
      <w:r>
        <w:rPr>
          <w:rFonts w:hint="eastAsia" w:ascii="Times New Roman" w:hAnsi="Times New Roman" w:eastAsia="宋体" w:cs="宋体"/>
          <w:color w:val="auto"/>
          <w:sz w:val="21"/>
          <w:szCs w:val="21"/>
        </w:rPr>
        <w:t>趋势，由19.33%增</w:t>
      </w:r>
      <w:r>
        <w:rPr>
          <w:rFonts w:hint="eastAsia" w:cs="宋体"/>
          <w:color w:val="auto"/>
          <w:sz w:val="21"/>
          <w:szCs w:val="21"/>
          <w:lang w:val="en-US" w:eastAsia="zh-CN"/>
        </w:rPr>
        <w:t>长</w:t>
      </w:r>
      <w:r>
        <w:rPr>
          <w:rFonts w:hint="eastAsia" w:ascii="Times New Roman" w:hAnsi="Times New Roman" w:eastAsia="宋体" w:cs="宋体"/>
          <w:color w:val="auto"/>
          <w:sz w:val="21"/>
          <w:szCs w:val="21"/>
        </w:rPr>
        <w:t>到37.55%，2010~2016年</w:t>
      </w:r>
      <w:r>
        <w:rPr>
          <w:rFonts w:hint="eastAsia" w:cs="宋体"/>
          <w:color w:val="auto"/>
          <w:sz w:val="21"/>
          <w:szCs w:val="21"/>
          <w:lang w:val="en-US" w:eastAsia="zh-CN"/>
        </w:rPr>
        <w:t>呈</w:t>
      </w:r>
      <w:r>
        <w:rPr>
          <w:rFonts w:hint="eastAsia" w:ascii="Times New Roman" w:hAnsi="Times New Roman" w:eastAsia="宋体" w:cs="宋体"/>
          <w:color w:val="auto"/>
          <w:sz w:val="21"/>
          <w:szCs w:val="21"/>
        </w:rPr>
        <w:t>先降低后增</w:t>
      </w:r>
      <w:r>
        <w:rPr>
          <w:rFonts w:hint="eastAsia" w:cs="宋体"/>
          <w:color w:val="auto"/>
          <w:sz w:val="21"/>
          <w:szCs w:val="21"/>
          <w:lang w:val="en-US" w:eastAsia="zh-CN"/>
        </w:rPr>
        <w:t>长趋势</w:t>
      </w:r>
      <w:r>
        <w:rPr>
          <w:rFonts w:hint="eastAsia" w:ascii="Times New Roman" w:hAnsi="Times New Roman" w:eastAsia="宋体" w:cs="宋体"/>
          <w:color w:val="auto"/>
          <w:sz w:val="21"/>
          <w:szCs w:val="21"/>
        </w:rPr>
        <w:t>（23.93%~29.45%），2018年达到最大值为41.00%。</w:t>
      </w:r>
      <w:commentRangeEnd w:id="24"/>
      <w:r>
        <w:commentReference w:id="24"/>
      </w:r>
    </w:p>
    <w:p w14:paraId="374E217F">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4257675" cy="2130425"/>
            <wp:effectExtent l="0" t="0" r="9525" b="317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7"/>
                    <a:srcRect r="40811"/>
                    <a:stretch>
                      <a:fillRect/>
                    </a:stretch>
                  </pic:blipFill>
                  <pic:spPr>
                    <a:xfrm>
                      <a:off x="0" y="0"/>
                      <a:ext cx="4257675" cy="2130425"/>
                    </a:xfrm>
                    <a:prstGeom prst="rect">
                      <a:avLst/>
                    </a:prstGeom>
                    <a:noFill/>
                    <a:ln>
                      <a:noFill/>
                    </a:ln>
                  </pic:spPr>
                </pic:pic>
              </a:graphicData>
            </a:graphic>
          </wp:inline>
        </w:drawing>
      </w:r>
    </w:p>
    <w:p w14:paraId="3330D2D8">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color w:val="auto"/>
          <w:sz w:val="21"/>
          <w:szCs w:val="21"/>
        </w:rPr>
      </w:pPr>
      <w:r>
        <w:rPr>
          <w:rFonts w:hint="eastAsia" w:ascii="Times New Roman" w:hAnsi="Times New Roman" w:eastAsia="宋体" w:cs="宋体"/>
          <w:b/>
          <w:color w:val="auto"/>
          <w:sz w:val="21"/>
          <w:szCs w:val="21"/>
        </w:rPr>
        <w:t xml:space="preserve">图3 </w:t>
      </w:r>
      <w:r>
        <w:rPr>
          <w:rFonts w:hint="eastAsia" w:ascii="Times New Roman" w:hAnsi="Times New Roman" w:eastAsia="宋体" w:cs="宋体"/>
          <w:color w:val="auto"/>
          <w:sz w:val="21"/>
          <w:szCs w:val="21"/>
        </w:rPr>
        <w:t>易门县2000</w:t>
      </w:r>
      <w:r>
        <w:rPr>
          <w:rFonts w:hint="eastAsia" w:cs="宋体"/>
          <w:color w:val="auto"/>
          <w:sz w:val="21"/>
          <w:szCs w:val="21"/>
          <w:lang w:eastAsia="zh-CN"/>
        </w:rPr>
        <w:t>—</w:t>
      </w:r>
      <w:r>
        <w:rPr>
          <w:rFonts w:hint="eastAsia" w:ascii="Times New Roman" w:hAnsi="Times New Roman" w:eastAsia="宋体" w:cs="宋体"/>
          <w:color w:val="auto"/>
          <w:sz w:val="21"/>
          <w:szCs w:val="21"/>
        </w:rPr>
        <w:t>2018年NDVI</w:t>
      </w:r>
      <w:r>
        <w:rPr>
          <w:rFonts w:hint="eastAsia" w:cs="宋体"/>
          <w:color w:val="auto"/>
          <w:sz w:val="21"/>
          <w:szCs w:val="21"/>
          <w:lang w:val="en-US" w:eastAsia="zh-CN"/>
        </w:rPr>
        <w:t>值</w:t>
      </w:r>
      <w:r>
        <w:rPr>
          <w:rFonts w:hint="eastAsia" w:ascii="Times New Roman" w:hAnsi="Times New Roman" w:eastAsia="宋体" w:cs="宋体"/>
          <w:color w:val="auto"/>
          <w:sz w:val="21"/>
          <w:szCs w:val="21"/>
        </w:rPr>
        <w:t>年际变化趋势</w:t>
      </w:r>
    </w:p>
    <w:p w14:paraId="2069B127">
      <w:pPr>
        <w:keepNext w:val="0"/>
        <w:keepLines w:val="0"/>
        <w:pageBreakBefore w:val="0"/>
        <w:kinsoku/>
        <w:wordWrap/>
        <w:overflowPunct/>
        <w:topLinePunct w:val="0"/>
        <w:autoSpaceDE/>
        <w:autoSpaceDN/>
        <w:bidi w:val="0"/>
        <w:adjustRightInd/>
        <w:snapToGrid w:val="0"/>
        <w:spacing w:line="360" w:lineRule="auto"/>
        <w:ind w:left="0" w:right="0" w:rightChars="0"/>
        <w:jc w:val="center"/>
        <w:textAlignment w:val="auto"/>
        <w:outlineLvl w:val="9"/>
        <w:rPr>
          <w:rFonts w:hint="eastAsia" w:ascii="Times New Roman" w:hAnsi="Times New Roman" w:eastAsia="宋体" w:cs="宋体"/>
          <w:b/>
          <w:color w:val="auto"/>
          <w:sz w:val="21"/>
          <w:szCs w:val="21"/>
        </w:rPr>
      </w:pPr>
      <w:r>
        <w:rPr>
          <w:rFonts w:hint="eastAsia" w:ascii="Times New Roman" w:hAnsi="Times New Roman" w:eastAsia="宋体" w:cs="宋体"/>
          <w:b/>
          <w:color w:val="auto"/>
          <w:sz w:val="21"/>
          <w:szCs w:val="21"/>
        </w:rPr>
        <w:t>Fig.3 Annual change of NDVI in Yimen county from 2000 to 2018</w:t>
      </w:r>
    </w:p>
    <w:p w14:paraId="2A6F784E">
      <w:pPr>
        <w:keepNext w:val="0"/>
        <w:keepLines w:val="0"/>
        <w:pageBreakBefore w:val="0"/>
        <w:kinsoku/>
        <w:wordWrap/>
        <w:overflowPunct/>
        <w:topLinePunct w:val="0"/>
        <w:autoSpaceDE/>
        <w:autoSpaceDN/>
        <w:bidi w:val="0"/>
        <w:adjustRightInd/>
        <w:snapToGrid w:val="0"/>
        <w:spacing w:line="360" w:lineRule="auto"/>
        <w:ind w:left="0" w:right="0" w:rightChars="0"/>
        <w:jc w:val="both"/>
        <w:textAlignment w:val="auto"/>
        <w:outlineLvl w:val="9"/>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sz w:val="21"/>
          <w:szCs w:val="21"/>
        </w:rPr>
        <w:t>4 结论与讨论</w:t>
      </w:r>
    </w:p>
    <w:p w14:paraId="746F340C">
      <w:pPr>
        <w:keepNext w:val="0"/>
        <w:keepLines w:val="0"/>
        <w:pageBreakBefore w:val="0"/>
        <w:kinsoku/>
        <w:wordWrap/>
        <w:overflowPunct/>
        <w:topLinePunct w:val="0"/>
        <w:autoSpaceDE/>
        <w:autoSpaceDN/>
        <w:bidi w:val="0"/>
        <w:adjustRightInd/>
        <w:snapToGrid w:val="0"/>
        <w:spacing w:line="360" w:lineRule="auto"/>
        <w:ind w:left="0" w:right="0" w:rightChars="0" w:firstLine="420" w:firstLineChars="200"/>
        <w:jc w:val="both"/>
        <w:textAlignment w:val="auto"/>
        <w:outlineLvl w:val="9"/>
        <w:rPr>
          <w:rFonts w:hint="eastAsia" w:ascii="Times New Roman" w:hAnsi="Times New Roman" w:eastAsia="宋体" w:cs="宋体"/>
          <w:color w:val="auto"/>
          <w:sz w:val="21"/>
          <w:szCs w:val="21"/>
        </w:rPr>
      </w:pPr>
      <w:commentRangeStart w:id="25"/>
      <w:r>
        <w:rPr>
          <w:rFonts w:hint="eastAsia" w:ascii="Times New Roman" w:hAnsi="Times New Roman" w:eastAsia="宋体" w:cs="宋体"/>
          <w:color w:val="auto"/>
          <w:sz w:val="21"/>
          <w:szCs w:val="21"/>
        </w:rPr>
        <w:t>植被生长受地形、温度、降水和人类活动等因素的影响。县域NDVI</w:t>
      </w:r>
      <w:r>
        <w:rPr>
          <w:rFonts w:hint="eastAsia" w:cs="宋体"/>
          <w:color w:val="auto"/>
          <w:sz w:val="21"/>
          <w:szCs w:val="21"/>
          <w:lang w:val="en-US" w:eastAsia="zh-CN"/>
        </w:rPr>
        <w:t>值</w:t>
      </w:r>
      <w:r>
        <w:rPr>
          <w:rFonts w:hint="eastAsia" w:ascii="Times New Roman" w:hAnsi="Times New Roman" w:eastAsia="宋体" w:cs="宋体"/>
          <w:color w:val="auto"/>
          <w:sz w:val="21"/>
          <w:szCs w:val="21"/>
        </w:rPr>
        <w:t>（0.547~0.614）随时间呈波动变化</w:t>
      </w:r>
      <w:r>
        <w:rPr>
          <w:rFonts w:hint="eastAsia" w:cs="宋体"/>
          <w:color w:val="auto"/>
          <w:sz w:val="21"/>
          <w:szCs w:val="21"/>
          <w:lang w:val="en-US" w:eastAsia="zh-CN"/>
        </w:rPr>
        <w:t>趋势</w:t>
      </w:r>
      <w:r>
        <w:rPr>
          <w:rFonts w:hint="eastAsia" w:ascii="Times New Roman" w:hAnsi="Times New Roman" w:eastAsia="宋体" w:cs="宋体"/>
          <w:color w:val="auto"/>
          <w:sz w:val="21"/>
          <w:szCs w:val="21"/>
        </w:rPr>
        <w:t>，2000</w:t>
      </w:r>
      <w:r>
        <w:rPr>
          <w:rFonts w:hint="eastAsia" w:cs="宋体"/>
          <w:color w:val="auto"/>
          <w:sz w:val="21"/>
          <w:szCs w:val="21"/>
          <w:lang w:eastAsia="zh-CN"/>
        </w:rPr>
        <w:t>—</w:t>
      </w:r>
      <w:r>
        <w:rPr>
          <w:rFonts w:hint="eastAsia" w:ascii="Times New Roman" w:hAnsi="Times New Roman" w:eastAsia="宋体" w:cs="宋体"/>
          <w:color w:val="auto"/>
          <w:sz w:val="21"/>
          <w:szCs w:val="21"/>
        </w:rPr>
        <w:t>2009年线性增加，2010年陡降，2010</w:t>
      </w:r>
      <w:r>
        <w:rPr>
          <w:rFonts w:hint="eastAsia" w:cs="宋体"/>
          <w:color w:val="auto"/>
          <w:sz w:val="21"/>
          <w:szCs w:val="21"/>
          <w:lang w:eastAsia="zh-CN"/>
        </w:rPr>
        <w:t>—</w:t>
      </w:r>
      <w:r>
        <w:rPr>
          <w:rFonts w:hint="eastAsia" w:ascii="Times New Roman" w:hAnsi="Times New Roman" w:eastAsia="宋体" w:cs="宋体"/>
          <w:color w:val="auto"/>
          <w:sz w:val="21"/>
          <w:szCs w:val="21"/>
        </w:rPr>
        <w:t>2018年</w:t>
      </w:r>
      <w:r>
        <w:rPr>
          <w:rFonts w:hint="eastAsia" w:cs="宋体"/>
          <w:color w:val="auto"/>
          <w:sz w:val="21"/>
          <w:szCs w:val="21"/>
          <w:lang w:val="en-US" w:eastAsia="zh-CN"/>
        </w:rPr>
        <w:t>又</w:t>
      </w:r>
      <w:r>
        <w:rPr>
          <w:rFonts w:hint="eastAsia" w:ascii="Times New Roman" w:hAnsi="Times New Roman" w:eastAsia="宋体" w:cs="宋体"/>
          <w:color w:val="auto"/>
          <w:sz w:val="21"/>
          <w:szCs w:val="21"/>
        </w:rPr>
        <w:t>线性</w:t>
      </w:r>
      <w:r>
        <w:rPr>
          <w:rFonts w:hint="eastAsia" w:cs="宋体"/>
          <w:color w:val="auto"/>
          <w:sz w:val="21"/>
          <w:szCs w:val="21"/>
          <w:lang w:val="en-US" w:eastAsia="zh-CN"/>
        </w:rPr>
        <w:t>增长</w:t>
      </w:r>
      <w:r>
        <w:rPr>
          <w:rFonts w:hint="eastAsia" w:ascii="Times New Roman" w:hAnsi="Times New Roman" w:eastAsia="宋体" w:cs="宋体"/>
          <w:color w:val="auto"/>
          <w:sz w:val="21"/>
          <w:szCs w:val="21"/>
        </w:rPr>
        <w:t>，最</w:t>
      </w:r>
      <w:r>
        <w:rPr>
          <w:rFonts w:hint="eastAsia" w:cs="宋体"/>
          <w:color w:val="auto"/>
          <w:sz w:val="21"/>
          <w:szCs w:val="21"/>
          <w:lang w:val="en-US" w:eastAsia="zh-CN"/>
        </w:rPr>
        <w:t>小值出现</w:t>
      </w:r>
      <w:r>
        <w:rPr>
          <w:rFonts w:hint="eastAsia" w:ascii="Times New Roman" w:hAnsi="Times New Roman" w:eastAsia="宋体" w:cs="宋体"/>
          <w:color w:val="auto"/>
          <w:sz w:val="21"/>
          <w:szCs w:val="21"/>
        </w:rPr>
        <w:t>在2010年，最</w:t>
      </w:r>
      <w:r>
        <w:rPr>
          <w:rFonts w:hint="eastAsia" w:cs="宋体"/>
          <w:color w:val="auto"/>
          <w:sz w:val="21"/>
          <w:szCs w:val="21"/>
          <w:lang w:val="en-US" w:eastAsia="zh-CN"/>
        </w:rPr>
        <w:t>大</w:t>
      </w:r>
      <w:r>
        <w:rPr>
          <w:rFonts w:hint="eastAsia" w:ascii="Times New Roman" w:hAnsi="Times New Roman" w:eastAsia="宋体" w:cs="宋体"/>
          <w:color w:val="auto"/>
          <w:sz w:val="21"/>
          <w:szCs w:val="21"/>
        </w:rPr>
        <w:t>值在2009年。县域面积88%以上的区域中植被覆盖度（NDVI值≥0.500）及其以上，各类型覆盖度面积相比，无植被覆盖区域（包括水域）的面积比例不足0.2%，高植被覆盖度的面积</w:t>
      </w:r>
      <w:r>
        <w:rPr>
          <w:rFonts w:hint="eastAsia" w:cs="宋体"/>
          <w:color w:val="auto"/>
          <w:sz w:val="21"/>
          <w:szCs w:val="21"/>
          <w:lang w:val="en-US" w:eastAsia="zh-CN"/>
        </w:rPr>
        <w:t>占比</w:t>
      </w:r>
      <w:r>
        <w:rPr>
          <w:rFonts w:hint="eastAsia" w:ascii="Times New Roman" w:hAnsi="Times New Roman" w:eastAsia="宋体" w:cs="宋体"/>
          <w:color w:val="auto"/>
          <w:sz w:val="21"/>
          <w:szCs w:val="21"/>
        </w:rPr>
        <w:t>（33.83%~46.41%）</w:t>
      </w:r>
      <w:r>
        <w:rPr>
          <w:rFonts w:hint="eastAsia" w:cs="宋体"/>
          <w:color w:val="auto"/>
          <w:sz w:val="21"/>
          <w:szCs w:val="21"/>
          <w:lang w:val="en-US" w:eastAsia="zh-CN"/>
        </w:rPr>
        <w:t>占相对优势</w:t>
      </w:r>
      <w:r>
        <w:rPr>
          <w:rFonts w:hint="eastAsia" w:ascii="Times New Roman" w:hAnsi="Times New Roman" w:eastAsia="宋体" w:cs="宋体"/>
          <w:color w:val="auto"/>
          <w:sz w:val="21"/>
          <w:szCs w:val="21"/>
        </w:rPr>
        <w:t>。不同植被覆盖程度随时间变化表现为低植被覆盖、较低植被覆盖、中植被覆盖和高植被覆盖的区域变化相似</w:t>
      </w:r>
      <w:r>
        <w:rPr>
          <w:rFonts w:hint="eastAsia" w:cs="宋体"/>
          <w:color w:val="auto"/>
          <w:sz w:val="21"/>
          <w:szCs w:val="21"/>
          <w:lang w:eastAsia="zh-CN"/>
        </w:rPr>
        <w:t>，</w:t>
      </w:r>
      <w:r>
        <w:rPr>
          <w:rFonts w:hint="eastAsia" w:ascii="Times New Roman" w:hAnsi="Times New Roman" w:eastAsia="宋体" w:cs="宋体"/>
          <w:color w:val="auto"/>
          <w:sz w:val="21"/>
          <w:szCs w:val="21"/>
        </w:rPr>
        <w:t>面积占比均呈降低趋势</w:t>
      </w:r>
      <w:r>
        <w:rPr>
          <w:rFonts w:hint="eastAsia" w:cs="宋体"/>
          <w:color w:val="auto"/>
          <w:sz w:val="21"/>
          <w:szCs w:val="21"/>
          <w:lang w:eastAsia="zh-CN"/>
        </w:rPr>
        <w:t>，</w:t>
      </w:r>
      <w:r>
        <w:rPr>
          <w:rFonts w:hint="eastAsia" w:ascii="Times New Roman" w:hAnsi="Times New Roman" w:eastAsia="宋体" w:cs="宋体"/>
          <w:color w:val="auto"/>
          <w:sz w:val="21"/>
          <w:szCs w:val="21"/>
        </w:rPr>
        <w:t>仅全植被覆盖区域面积占比与县域NDVI值随时间变化趋势相似</w:t>
      </w:r>
      <w:r>
        <w:rPr>
          <w:rFonts w:hint="eastAsia" w:cs="宋体"/>
          <w:color w:val="auto"/>
          <w:sz w:val="21"/>
          <w:szCs w:val="21"/>
          <w:lang w:eastAsia="zh-CN"/>
        </w:rPr>
        <w:t>，</w:t>
      </w:r>
      <w:r>
        <w:rPr>
          <w:rFonts w:hint="eastAsia" w:ascii="Times New Roman" w:hAnsi="Times New Roman" w:eastAsia="宋体" w:cs="宋体"/>
          <w:color w:val="auto"/>
          <w:sz w:val="21"/>
          <w:szCs w:val="21"/>
        </w:rPr>
        <w:t>2010年以后持续增长</w:t>
      </w:r>
      <w:r>
        <w:rPr>
          <w:rFonts w:hint="eastAsia" w:cs="宋体"/>
          <w:color w:val="auto"/>
          <w:sz w:val="21"/>
          <w:szCs w:val="21"/>
          <w:lang w:eastAsia="zh-CN"/>
        </w:rPr>
        <w:t>，</w:t>
      </w:r>
      <w:r>
        <w:rPr>
          <w:rFonts w:hint="eastAsia" w:ascii="Times New Roman" w:hAnsi="Times New Roman" w:eastAsia="宋体" w:cs="宋体"/>
          <w:color w:val="auto"/>
          <w:sz w:val="21"/>
          <w:szCs w:val="21"/>
        </w:rPr>
        <w:t>其原因可能是研究区近年来实施了大规模的退耕还林。</w:t>
      </w:r>
      <w:commentRangeEnd w:id="25"/>
      <w:r>
        <w:commentReference w:id="25"/>
      </w:r>
    </w:p>
    <w:p w14:paraId="1AB76833">
      <w:pPr>
        <w:keepNext w:val="0"/>
        <w:keepLines w:val="0"/>
        <w:pageBreakBefore w:val="0"/>
        <w:kinsoku/>
        <w:wordWrap/>
        <w:overflowPunct/>
        <w:topLinePunct w:val="0"/>
        <w:autoSpaceDE/>
        <w:autoSpaceDN/>
        <w:bidi w:val="0"/>
        <w:adjustRightInd/>
        <w:snapToGrid w:val="0"/>
        <w:spacing w:line="360" w:lineRule="auto"/>
        <w:ind w:left="0" w:right="0" w:rightChars="0"/>
        <w:textAlignment w:val="auto"/>
        <w:outlineLvl w:val="9"/>
        <w:rPr>
          <w:rFonts w:hint="eastAsia" w:ascii="宋体" w:hAnsi="宋体" w:eastAsia="宋体" w:cs="宋体"/>
          <w:b/>
          <w:bCs/>
          <w:color w:val="auto"/>
          <w:sz w:val="21"/>
          <w:szCs w:val="21"/>
          <w:lang w:eastAsia="zh-CN"/>
        </w:rPr>
      </w:pPr>
      <w:commentRangeStart w:id="26"/>
      <w:r>
        <w:rPr>
          <w:rFonts w:hint="eastAsia" w:ascii="宋体" w:hAnsi="宋体" w:eastAsia="宋体" w:cs="宋体"/>
          <w:b/>
          <w:bCs/>
          <w:color w:val="auto"/>
          <w:sz w:val="21"/>
          <w:szCs w:val="21"/>
        </w:rPr>
        <w:t>参考文献</w:t>
      </w:r>
      <w:r>
        <w:rPr>
          <w:rFonts w:hint="eastAsia" w:ascii="宋体" w:hAnsi="宋体" w:eastAsia="宋体" w:cs="宋体"/>
          <w:b/>
          <w:bCs/>
          <w:color w:val="auto"/>
          <w:sz w:val="21"/>
          <w:szCs w:val="21"/>
          <w:lang w:eastAsia="zh-CN"/>
        </w:rPr>
        <w:t>：</w:t>
      </w:r>
      <w:commentRangeEnd w:id="26"/>
      <w:r>
        <w:commentReference w:id="26"/>
      </w:r>
    </w:p>
    <w:p w14:paraId="5FD80F8E">
      <w:pPr>
        <w:keepNext w:val="0"/>
        <w:keepLines w:val="0"/>
        <w:pageBreakBefore w:val="0"/>
        <w:kinsoku/>
        <w:wordWrap/>
        <w:overflowPunct/>
        <w:topLinePunct w:val="0"/>
        <w:autoSpaceDE/>
        <w:autoSpaceDN/>
        <w:bidi w:val="0"/>
        <w:adjustRightInd/>
        <w:snapToGrid w:val="0"/>
        <w:spacing w:line="360" w:lineRule="auto"/>
        <w:ind w:left="0" w:right="0" w:rightChars="0" w:hanging="315" w:hangingChars="150"/>
        <w:jc w:val="both"/>
        <w:textAlignment w:val="auto"/>
        <w:outlineLvl w:val="9"/>
        <w:rPr>
          <w:rFonts w:hint="eastAsia" w:ascii="Times New Roman" w:hAnsi="Times New Roman" w:eastAsia="宋体" w:cs="宋体"/>
          <w:color w:val="auto"/>
          <w:sz w:val="21"/>
          <w:szCs w:val="18"/>
        </w:rPr>
      </w:pPr>
      <w:r>
        <w:rPr>
          <w:rFonts w:hint="eastAsia" w:ascii="Times New Roman" w:hAnsi="Times New Roman" w:eastAsia="宋体" w:cs="宋体"/>
          <w:color w:val="auto"/>
          <w:sz w:val="21"/>
          <w:szCs w:val="18"/>
        </w:rPr>
        <w:t>[1]</w:t>
      </w:r>
      <w:commentRangeStart w:id="27"/>
      <w:r>
        <w:rPr>
          <w:rFonts w:hint="eastAsia" w:ascii="Times New Roman" w:hAnsi="Times New Roman" w:eastAsia="宋体" w:cs="宋体"/>
          <w:color w:val="auto"/>
          <w:sz w:val="21"/>
          <w:szCs w:val="18"/>
        </w:rPr>
        <w:t xml:space="preserve"> </w:t>
      </w:r>
      <w:commentRangeEnd w:id="27"/>
      <w:r>
        <w:commentReference w:id="27"/>
      </w:r>
      <w:r>
        <w:rPr>
          <w:rFonts w:hint="eastAsia" w:ascii="Times New Roman" w:hAnsi="Times New Roman" w:eastAsia="宋体" w:cs="宋体"/>
          <w:color w:val="auto"/>
          <w:sz w:val="21"/>
          <w:szCs w:val="18"/>
        </w:rPr>
        <w:t>Senay G B , Elliott R L . Combining AVHRR-NDVI and landuse data to describe temporal and spatial dynamics of vegetation[J]. Forest Ecology &amp; Management, 2000, 128(1-2):83-91.</w:t>
      </w:r>
    </w:p>
    <w:p w14:paraId="0E0D1F0B">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eastAsia" w:ascii="Times New Roman" w:hAnsi="Times New Roman" w:eastAsia="宋体" w:cs="宋体"/>
          <w:color w:val="auto"/>
          <w:sz w:val="21"/>
          <w:szCs w:val="18"/>
        </w:rPr>
      </w:pPr>
      <w:r>
        <w:rPr>
          <w:rFonts w:hint="eastAsia" w:ascii="Times New Roman" w:hAnsi="Times New Roman" w:eastAsia="宋体" w:cs="宋体"/>
          <w:color w:val="auto"/>
          <w:sz w:val="21"/>
          <w:szCs w:val="18"/>
        </w:rPr>
        <w:t xml:space="preserve">[2] </w:t>
      </w:r>
      <w:commentRangeStart w:id="28"/>
      <w:r>
        <w:rPr>
          <w:rFonts w:hint="eastAsia" w:ascii="Times New Roman" w:hAnsi="Times New Roman" w:eastAsia="宋体" w:cs="宋体"/>
          <w:color w:val="auto"/>
          <w:sz w:val="21"/>
          <w:szCs w:val="18"/>
        </w:rPr>
        <w:t>朴世龙, 方精云</w:t>
      </w:r>
      <w:commentRangeEnd w:id="28"/>
      <w:r>
        <w:commentReference w:id="28"/>
      </w:r>
      <w:r>
        <w:rPr>
          <w:rFonts w:hint="eastAsia" w:ascii="Times New Roman" w:hAnsi="Times New Roman" w:eastAsia="宋体" w:cs="宋体"/>
          <w:color w:val="auto"/>
          <w:sz w:val="21"/>
          <w:szCs w:val="18"/>
        </w:rPr>
        <w:t>. 最近18年来中国植被覆盖的动态变化[J]. 第四纪研究, 2001, 21(4): 294-302.</w:t>
      </w:r>
    </w:p>
    <w:p w14:paraId="064D6931">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eastAsia" w:ascii="Times New Roman" w:hAnsi="Times New Roman" w:eastAsia="宋体" w:cs="宋体"/>
          <w:color w:val="auto"/>
          <w:sz w:val="21"/>
          <w:szCs w:val="18"/>
        </w:rPr>
      </w:pPr>
      <w:r>
        <w:rPr>
          <w:rFonts w:hint="eastAsia" w:ascii="Times New Roman" w:hAnsi="Times New Roman" w:eastAsia="宋体" w:cs="宋体"/>
          <w:color w:val="auto"/>
          <w:sz w:val="21"/>
          <w:szCs w:val="18"/>
        </w:rPr>
        <w:t>[3] 方精云, 朴世龙, 贺金生</w:t>
      </w:r>
      <w:commentRangeStart w:id="29"/>
      <w:r>
        <w:rPr>
          <w:rFonts w:hint="eastAsia" w:ascii="Times New Roman" w:hAnsi="Times New Roman" w:eastAsia="宋体" w:cs="宋体"/>
          <w:color w:val="auto"/>
          <w:sz w:val="21"/>
          <w:szCs w:val="18"/>
        </w:rPr>
        <w:t>, 等.</w:t>
      </w:r>
      <w:commentRangeEnd w:id="29"/>
      <w:r>
        <w:commentReference w:id="29"/>
      </w:r>
      <w:r>
        <w:rPr>
          <w:rFonts w:hint="eastAsia" w:ascii="Times New Roman" w:hAnsi="Times New Roman" w:eastAsia="宋体" w:cs="宋体"/>
          <w:color w:val="auto"/>
          <w:sz w:val="21"/>
          <w:szCs w:val="18"/>
        </w:rPr>
        <w:t xml:space="preserve"> 近20年来中国植被活动在增强[J].中国科学:C辑, 2003, 33(6):554-565.</w:t>
      </w:r>
    </w:p>
    <w:p w14:paraId="5AD03C05">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eastAsia" w:ascii="Times New Roman" w:hAnsi="Times New Roman" w:eastAsia="宋体" w:cs="宋体"/>
          <w:color w:val="auto"/>
          <w:sz w:val="21"/>
          <w:szCs w:val="18"/>
        </w:rPr>
      </w:pPr>
    </w:p>
    <w:p w14:paraId="31E94BC3">
      <w:pPr>
        <w:keepNext w:val="0"/>
        <w:keepLines w:val="0"/>
        <w:pageBreakBefore w:val="0"/>
        <w:kinsoku/>
        <w:wordWrap/>
        <w:overflowPunct/>
        <w:topLinePunct w:val="0"/>
        <w:autoSpaceDE/>
        <w:autoSpaceDN/>
        <w:bidi w:val="0"/>
        <w:adjustRightInd/>
        <w:snapToGrid w:val="0"/>
        <w:spacing w:line="360" w:lineRule="auto"/>
        <w:ind w:left="-2" w:leftChars="0" w:right="0" w:rightChars="0" w:firstLine="0" w:firstLineChars="0"/>
        <w:jc w:val="both"/>
        <w:textAlignment w:val="auto"/>
        <w:outlineLvl w:val="9"/>
        <w:rPr>
          <w:rFonts w:hint="default" w:ascii="Times New Roman" w:hAnsi="Times New Roman" w:eastAsia="宋体" w:cs="Times New Roman"/>
          <w:b/>
          <w:bCs/>
          <w:color w:val="FF0000"/>
          <w:sz w:val="24"/>
          <w:szCs w:val="24"/>
        </w:rPr>
      </w:pPr>
    </w:p>
    <w:p w14:paraId="64C415D4">
      <w:pPr>
        <w:keepNext w:val="0"/>
        <w:keepLines w:val="0"/>
        <w:pageBreakBefore w:val="0"/>
        <w:kinsoku/>
        <w:wordWrap/>
        <w:overflowPunct/>
        <w:topLinePunct w:val="0"/>
        <w:autoSpaceDE/>
        <w:autoSpaceDN/>
        <w:bidi w:val="0"/>
        <w:adjustRightInd/>
        <w:snapToGrid w:val="0"/>
        <w:spacing w:line="360" w:lineRule="auto"/>
        <w:ind w:left="-2" w:leftChars="0" w:right="0" w:rightChars="0" w:firstLine="0" w:firstLineChars="0"/>
        <w:jc w:val="both"/>
        <w:textAlignment w:val="auto"/>
        <w:outlineLvl w:val="9"/>
        <w:rPr>
          <w:rFonts w:hint="default" w:ascii="Times New Roman" w:hAnsi="Times New Roman" w:eastAsia="宋体" w:cs="Times New Roman"/>
          <w:b/>
          <w:bCs/>
          <w:color w:val="FF0000"/>
          <w:sz w:val="24"/>
          <w:szCs w:val="24"/>
        </w:rPr>
      </w:pPr>
    </w:p>
    <w:p w14:paraId="57F867DF">
      <w:pPr>
        <w:keepNext w:val="0"/>
        <w:keepLines w:val="0"/>
        <w:pageBreakBefore w:val="0"/>
        <w:kinsoku/>
        <w:wordWrap/>
        <w:overflowPunct/>
        <w:topLinePunct w:val="0"/>
        <w:autoSpaceDE/>
        <w:autoSpaceDN/>
        <w:bidi w:val="0"/>
        <w:adjustRightInd/>
        <w:snapToGrid w:val="0"/>
        <w:spacing w:line="360" w:lineRule="auto"/>
        <w:ind w:left="-2" w:leftChars="0" w:right="0" w:rightChars="0" w:firstLine="0" w:firstLineChars="0"/>
        <w:jc w:val="both"/>
        <w:textAlignment w:val="auto"/>
        <w:outlineLvl w:val="9"/>
        <w:rPr>
          <w:rFonts w:hint="default" w:ascii="Times New Roman" w:hAnsi="Times New Roman" w:eastAsia="宋体" w:cs="Times New Roman"/>
          <w:b/>
          <w:bCs/>
          <w:color w:val="FF0000"/>
          <w:sz w:val="24"/>
          <w:szCs w:val="24"/>
        </w:rPr>
      </w:pPr>
    </w:p>
    <w:p w14:paraId="6559F19E">
      <w:pPr>
        <w:keepNext w:val="0"/>
        <w:keepLines w:val="0"/>
        <w:pageBreakBefore w:val="0"/>
        <w:kinsoku/>
        <w:wordWrap/>
        <w:overflowPunct/>
        <w:topLinePunct w:val="0"/>
        <w:autoSpaceDE/>
        <w:autoSpaceDN/>
        <w:bidi w:val="0"/>
        <w:adjustRightInd/>
        <w:snapToGrid w:val="0"/>
        <w:spacing w:line="360" w:lineRule="auto"/>
        <w:ind w:left="-2" w:leftChars="0" w:right="0" w:rightChars="0" w:firstLine="0" w:firstLineChars="0"/>
        <w:jc w:val="both"/>
        <w:textAlignment w:val="auto"/>
        <w:outlineLvl w:val="9"/>
        <w:rPr>
          <w:rFonts w:hint="default" w:ascii="Times New Roman" w:hAnsi="Times New Roman" w:eastAsia="宋体" w:cs="Times New Roman"/>
          <w:b/>
          <w:bCs/>
          <w:color w:val="FF0000"/>
          <w:sz w:val="24"/>
          <w:szCs w:val="24"/>
        </w:rPr>
      </w:pPr>
    </w:p>
    <w:p w14:paraId="6328B11F">
      <w:pPr>
        <w:keepNext w:val="0"/>
        <w:keepLines w:val="0"/>
        <w:pageBreakBefore w:val="0"/>
        <w:kinsoku/>
        <w:wordWrap/>
        <w:overflowPunct/>
        <w:topLinePunct w:val="0"/>
        <w:autoSpaceDE/>
        <w:autoSpaceDN/>
        <w:bidi w:val="0"/>
        <w:adjustRightInd/>
        <w:snapToGrid w:val="0"/>
        <w:spacing w:line="360" w:lineRule="auto"/>
        <w:ind w:left="-2" w:leftChars="0" w:right="0" w:rightChars="0" w:firstLine="0" w:firstLineChars="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FF0000"/>
          <w:sz w:val="24"/>
          <w:szCs w:val="24"/>
        </w:rPr>
        <w:t>各类文献著录格式及举例如下</w:t>
      </w:r>
      <w:r>
        <w:rPr>
          <w:rFonts w:hint="default" w:ascii="Times New Roman" w:hAnsi="Times New Roman" w:eastAsia="宋体" w:cs="Times New Roman"/>
          <w:b/>
          <w:bCs/>
          <w:color w:val="FF0000"/>
          <w:sz w:val="24"/>
          <w:szCs w:val="24"/>
          <w:lang w:eastAsia="zh-CN"/>
        </w:rPr>
        <w:t>（上海理工大学 文献信息检索课程组版权所有©2019，</w:t>
      </w:r>
      <w:r>
        <w:rPr>
          <w:rFonts w:ascii="宋体" w:hAnsi="宋体" w:eastAsia="宋体" w:cs="宋体"/>
          <w:sz w:val="24"/>
          <w:szCs w:val="24"/>
        </w:rPr>
        <w:fldChar w:fldCharType="begin"/>
      </w:r>
      <w:r>
        <w:rPr>
          <w:rFonts w:ascii="宋体" w:hAnsi="宋体" w:eastAsia="宋体" w:cs="宋体"/>
          <w:sz w:val="24"/>
          <w:szCs w:val="24"/>
        </w:rPr>
        <w:instrText xml:space="preserve"> HYPERLINK "https://wjk.usst.edu.cn/2020/0301/c9273a215002/page.htm" </w:instrText>
      </w:r>
      <w:r>
        <w:rPr>
          <w:rFonts w:ascii="宋体" w:hAnsi="宋体" w:eastAsia="宋体" w:cs="宋体"/>
          <w:sz w:val="24"/>
          <w:szCs w:val="24"/>
        </w:rPr>
        <w:fldChar w:fldCharType="separate"/>
      </w:r>
      <w:r>
        <w:rPr>
          <w:rStyle w:val="13"/>
          <w:rFonts w:ascii="宋体" w:hAnsi="宋体" w:eastAsia="宋体" w:cs="宋体"/>
          <w:sz w:val="24"/>
          <w:szCs w:val="24"/>
        </w:rPr>
        <w:t>新版《信息与文献 参考文献著录规则》与参考文献著录 (usst.edu.cn)</w:t>
      </w:r>
      <w:r>
        <w:rPr>
          <w:rFonts w:ascii="宋体" w:hAnsi="宋体" w:eastAsia="宋体" w:cs="宋体"/>
          <w:sz w:val="24"/>
          <w:szCs w:val="24"/>
        </w:rPr>
        <w:fldChar w:fldCharType="end"/>
      </w:r>
      <w:r>
        <w:rPr>
          <w:rFonts w:hint="default" w:ascii="Times New Roman" w:hAnsi="Times New Roman" w:eastAsia="宋体" w:cs="Times New Roman"/>
          <w:b/>
          <w:bCs/>
          <w:color w:val="FF0000"/>
          <w:sz w:val="24"/>
          <w:szCs w:val="24"/>
          <w:lang w:eastAsia="zh-CN"/>
        </w:rPr>
        <w:t>）</w:t>
      </w:r>
      <w:r>
        <w:rPr>
          <w:rFonts w:hint="default" w:ascii="Times New Roman" w:hAnsi="Times New Roman" w:eastAsia="宋体" w:cs="Times New Roman"/>
          <w:b/>
          <w:bCs/>
          <w:color w:val="FF0000"/>
          <w:sz w:val="24"/>
          <w:szCs w:val="24"/>
        </w:rPr>
        <w:t>：</w:t>
      </w:r>
    </w:p>
    <w:p w14:paraId="066E0D41">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p>
    <w:p w14:paraId="1BE375EC">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FF0000"/>
          <w:sz w:val="21"/>
          <w:szCs w:val="21"/>
        </w:rPr>
        <w:t>普通图书</w:t>
      </w:r>
    </w:p>
    <w:p w14:paraId="129D8E63">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主要责任者.题名:其他题名信息[M]. 其他责任者. 版本项(第1版不写). 出版地: 出版者, 出版年:页码.</w:t>
      </w:r>
    </w:p>
    <w:p w14:paraId="69D6CC1C">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王迁. 著作权法学[M]. 北京: 北京大学出版社, 2007:20–25.</w:t>
      </w:r>
    </w:p>
    <w:p w14:paraId="5324124E">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 SLOWINSKI R. Intelligent decision support: handbook of applications and advances of rough set theory[M]. Dordrecht, Netherland: Kluwer Academic Publishers, 1992.</w:t>
      </w:r>
    </w:p>
    <w:p w14:paraId="5505FAF5">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 昂温 G, 昂温 P S. 外国出版史[M]. 陈生诤, 译. 北京: 中国书籍出版社, 1988.</w:t>
      </w:r>
    </w:p>
    <w:p w14:paraId="6300007F">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期刊（析出的文献）</w:t>
      </w:r>
    </w:p>
    <w:p w14:paraId="568DE311">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作者. 篇名[J]. 刊名, 出版年份, 卷号(期号):页码.</w:t>
      </w:r>
    </w:p>
    <w:p w14:paraId="37CF5B84">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朱建平, 张润楚. 数据挖掘的发展及其特点[J]. 统计与决策, 2002(3):55–60.</w:t>
      </w:r>
    </w:p>
    <w:p w14:paraId="767FA8C9">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 DOWLER L. The research university’s dilemma; resource sharing and research in a trans institutional environment[J]. Journal Library Administration ,1995, 21(1/2):5–26.</w:t>
      </w:r>
    </w:p>
    <w:p w14:paraId="6A960E27">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学位论文</w:t>
      </w:r>
    </w:p>
    <w:p w14:paraId="1014587A">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作者. 题名[D]. 培养单位所在地: 培养单位, 出版年:页码.</w:t>
      </w:r>
    </w:p>
    <w:p w14:paraId="065EE6D2">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CALMS R B. Infrared spectroscopic studies on solid oxygen[D].Berkeley: Univ. Of California, 1965:50-53.</w:t>
      </w:r>
    </w:p>
    <w:p w14:paraId="2106D07B">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 张筑生. 微分半动力系统的不变集[D]. 北京: 北京大学, 1983.</w:t>
      </w:r>
    </w:p>
    <w:p w14:paraId="0772C10F">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报纸（析出的文献）</w:t>
      </w:r>
    </w:p>
    <w:p w14:paraId="061FEA69">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作者. 题名[N]. 报纸名称, 出版年份-月-日(版次).</w:t>
      </w:r>
    </w:p>
    <w:p w14:paraId="3E23F9A9">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傅刚, 赵承, 李佳路. 大风沙过后的思考[N]. 北京青年报, 2000-04-12(14).</w:t>
      </w:r>
    </w:p>
    <w:p w14:paraId="3FCC1FA2">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报告</w:t>
      </w:r>
    </w:p>
    <w:p w14:paraId="6D797D2D">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作者. 报告题名:报告编号[R], 出版地: 出版者, 出版年.</w:t>
      </w:r>
    </w:p>
    <w:p w14:paraId="4AF8B94B">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U. S. Department of Transportation Federal Highway Administration. Guidelines for bandling excavated acid-producing materials: PB 91–194001[R]. Springfield: U. S. Department of Commerce National Information Service, 1990.</w:t>
      </w:r>
    </w:p>
    <w:p w14:paraId="0BB2E1EA">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标准</w:t>
      </w:r>
    </w:p>
    <w:p w14:paraId="5BA7C9CF">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主要责任者. 标准名称:标准号[S]. 出版地: 出版者, 出版年:页码.</w:t>
      </w:r>
    </w:p>
    <w:p w14:paraId="1850745D">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全国量和单位标准化技术委员会. 量和单位:GB 3100–3102－1993[S]. 北京: 中国标准出版社, 1994:3.</w:t>
      </w:r>
    </w:p>
    <w:p w14:paraId="7231A299">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专利</w:t>
      </w:r>
    </w:p>
    <w:p w14:paraId="6A0B4489">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专利申请者或所有者. 专利题名: 专利号[P]. 公告日期或公开日期.</w:t>
      </w:r>
    </w:p>
    <w:p w14:paraId="61116759">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姜锡洲. 一种温热外敷药制备方案: 88105607.3[P]. 1989-07-26.</w:t>
      </w:r>
    </w:p>
    <w:p w14:paraId="6CA15DF3">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专著中析出的文献</w:t>
      </w:r>
    </w:p>
    <w:p w14:paraId="065C94C1">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析出文献主要责任者. 析出文献题名[M]//专著主要责任者. 专著题名:其他题名信息. 版本项. 出版地: 出版者, 出版年:析出文献的页码.</w:t>
      </w:r>
    </w:p>
    <w:p w14:paraId="032A6DB2">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白书农. 植物开花研究[M]//李承森. 植物科学进展. 北京: 高等教育出版社, 1998:146–163.</w:t>
      </w:r>
    </w:p>
    <w:p w14:paraId="0877EC38">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会议录、汇编作品中析出的文献</w:t>
      </w:r>
    </w:p>
    <w:p w14:paraId="404A8916">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析出文献主要责任者. 析出文献题名[C或G]//会议录、汇编作品主要责任者. 会议录、汇编作品题名: 其他题名信息. 版本项. 出版地: 出版者, 出版年:析出文献的页码.</w:t>
      </w:r>
    </w:p>
    <w:p w14:paraId="72A688F0">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王细荣, 韩玲. 学术研究视野下的高校文献检索课——上海理工大学“文检课”的设置理念与配套教材述要[C]//孙济庆. 信息社会与信息素养：2010全国高校文献检索教学研讨会论文集. 上海: 华东理工大学出版社, 2010:317- 321.</w:t>
      </w:r>
    </w:p>
    <w:p w14:paraId="17CDE907">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 王细荣. “湛恩纪念图书馆”的前世今生[G]//章华明, 吴禹星. 刘湛恩纪念文集. 上海:上海交通大学出版社, 2011:278-282.</w:t>
      </w:r>
    </w:p>
    <w:p w14:paraId="181D00DA">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电子文献</w:t>
      </w:r>
    </w:p>
    <w:p w14:paraId="7E672A02">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A. 一般网上文献：[序号] 作者. 标题[EB/OL]. (上传或更新日期)[检索日期]. 网址.</w:t>
      </w:r>
    </w:p>
    <w:p w14:paraId="7B209166">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上海理工大学中英国际学院. 中英国际学院首届学生毕业典礼隆重举行[EB/OL]. (2011-07-25)[2011-07-26]. http://www.usst.edu.cn/s/1/t/65/5a/ e6/info23270.htm.</w:t>
      </w:r>
    </w:p>
    <w:p w14:paraId="46173F10">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p>
    <w:p w14:paraId="499AC293">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B. 网络数据库中的电子文献：[序号] 作者. 标题[DB/OL]. [检索日期]. 网址.</w:t>
      </w:r>
    </w:p>
    <w:p w14:paraId="731493F8">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 上海市人民代表大会. 上海市制定地方性法规条例[DB/OL]. [2011- 11-21]. http://d.g. wanfangdata.com.cn/Claw_D310016962.aspx.</w:t>
      </w:r>
    </w:p>
    <w:p w14:paraId="3C0118D2">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FF0000"/>
          <w:sz w:val="21"/>
          <w:szCs w:val="21"/>
        </w:rPr>
      </w:pPr>
      <w:r>
        <w:rPr>
          <w:rFonts w:hint="default" w:ascii="Times New Roman" w:hAnsi="Times New Roman" w:eastAsia="宋体" w:cs="Times New Roman"/>
          <w:color w:val="FF0000"/>
          <w:sz w:val="21"/>
          <w:szCs w:val="21"/>
        </w:rPr>
        <w:t>传统文献网络电子版</w:t>
      </w:r>
    </w:p>
    <w:p w14:paraId="6A486918">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A. 期刊论文网络电子版：[序号] 作者. 题名[J/OL]. 刊物名称, 年, 卷(期):页码[引用日期]. 获取或访问路径.</w:t>
      </w:r>
    </w:p>
    <w:p w14:paraId="3486FCD1">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江向东. 互联网环境下的信息处理与图书管理系统解决方案[J/OL]. 情报学报, 1999, 18(2):4[2000-01-18]. http://www.chinainfo.gov.cn/periodical/gbxb/gb-xb99/gbxb990203.</w:t>
      </w:r>
    </w:p>
    <w:p w14:paraId="3391FD6D">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B. 优先出版期刊论文（刊期号未定）：[序号] 作者. 标题[J/OL]. 刊物名称[检索日期]. 网址. DOI: DOI号.</w:t>
      </w:r>
    </w:p>
    <w:p w14:paraId="28081B37">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 周鹏. 浅谈高职英语教学中跨文化交际意识及能力的培养[J/OL]. 教育教学论坛[2011-12-13]. http://www.cnki.net/kcms/detail/13.1399.G4. 20111109.1127.001.html. DOI:CNKI: 13-1399/G4.20111109.1127.001.</w:t>
      </w:r>
    </w:p>
    <w:p w14:paraId="39316462">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 报纸论文网络电子版：[序号] 作者. 题名[N/OL]. 报纸名, 年-月-日[引用日期]. 获取或访问路径.</w:t>
      </w:r>
    </w:p>
    <w:p w14:paraId="7C97ED87">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 傅刚, 赵承, 李佳路. 大风沙过后的思考[N/OL]. 北京青年报, 2001- 01-12[2005-07 -12]. http://www.bjyouth.com.cn/Bqb/20000412/GB/ 4216%5ED0412B1401.htm</w:t>
      </w:r>
    </w:p>
    <w:p w14:paraId="52408247">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 图书（包括专著、会议文集或汇编作品）网络电子版：[序号] 作者. 题名[M/OL或C/OL或G/OL]. 其他责任者. 出版地: 出版者, 出版年:页码[引用日期]. 获取或访问路径.</w:t>
      </w:r>
    </w:p>
    <w:p w14:paraId="0C7118C5">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 赵耀东. 新时代的工业工程师[M/OL]. 台北: 天下文化出版社, 1998:20[1998-09-26]. http://www.ie.nthu.edu.tw/info/ie.newie.htm.</w:t>
      </w:r>
    </w:p>
    <w:p w14:paraId="61BB31CB">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 王细荣. 复兴路校区历史建筑旧貌新颜[G/OL]//周桂发, 朱大章, 章华明. 上海高校建筑文化. 上海:复旦大学出版社, 2014:197-203[2015-05-22]. http://depa.usst.edu.cn/wjk/xr/ luntang/2014.12.11.htm.</w:t>
      </w:r>
    </w:p>
    <w:p w14:paraId="1A2920EE">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 其他类型（如专利）文献以此类推。</w:t>
      </w:r>
    </w:p>
    <w:p w14:paraId="4495E213">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6</w:t>
      </w:r>
      <w:r>
        <w:rPr>
          <w:rFonts w:hint="default" w:ascii="Times New Roman" w:hAnsi="Times New Roman" w:eastAsia="宋体" w:cs="Times New Roman"/>
          <w:color w:val="auto"/>
          <w:sz w:val="21"/>
          <w:szCs w:val="21"/>
        </w:rPr>
        <w:t>] 西安电子科技大学. 光折变自适应光外差探测方法: 01128777.2[P/OL]. 2002-03-06 [2012-05-28]. http://211.152.9.47/zljs/hyjs-yx-new.asp?recid =01128777.2&amp;leixin=0.</w:t>
      </w:r>
    </w:p>
    <w:p w14:paraId="7BA8BDF6">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FF0000"/>
          <w:sz w:val="21"/>
          <w:szCs w:val="21"/>
        </w:rPr>
        <w:t>非在线电子文献</w:t>
      </w:r>
    </w:p>
    <w:p w14:paraId="69D383DF">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 主要责任者. 题名: 其他题名信息[文献类型/MT或DK或CD]. 出版地: 出版者, 出版时间.</w:t>
      </w:r>
    </w:p>
    <w:p w14:paraId="3691B478">
      <w:pPr>
        <w:keepNext w:val="0"/>
        <w:keepLines w:val="0"/>
        <w:pageBreakBefore w:val="0"/>
        <w:kinsoku/>
        <w:wordWrap/>
        <w:overflowPunct/>
        <w:topLinePunct w:val="0"/>
        <w:autoSpaceDE/>
        <w:autoSpaceDN/>
        <w:bidi w:val="0"/>
        <w:adjustRightInd/>
        <w:snapToGrid w:val="0"/>
        <w:spacing w:line="360" w:lineRule="auto"/>
        <w:ind w:left="0" w:right="0" w:rightChars="0" w:hanging="420" w:hangingChars="200"/>
        <w:jc w:val="both"/>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 陈征, 李建平, 郭铁民. 《资本论》选读[M/CD]. 北京:高等教育出版社, 2007.</w:t>
      </w: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大磊" w:date="2024-02-07T13:31:36Z" w:initials="">
    <w:p w14:paraId="755206B5">
      <w:pPr>
        <w:pStyle w:val="4"/>
        <w:spacing w:line="240" w:lineRule="auto"/>
        <w:rPr>
          <w:sz w:val="24"/>
        </w:rPr>
      </w:pPr>
      <w:r>
        <w:rPr>
          <w:rFonts w:hint="eastAsia"/>
          <w:sz w:val="24"/>
          <w:lang w:val="en-US" w:eastAsia="zh-CN"/>
        </w:rPr>
        <w:t>字号：三号，加粗；格式：居中</w:t>
      </w:r>
    </w:p>
  </w:comment>
  <w:comment w:id="2" w:author="大磊" w:date="2024-02-08T13:28:31Z" w:initials="">
    <w:p w14:paraId="4BC10EDE">
      <w:pPr>
        <w:pStyle w:val="4"/>
        <w:rPr>
          <w:rFonts w:hint="eastAsia"/>
          <w:lang w:val="en-US" w:eastAsia="zh-CN"/>
        </w:rPr>
      </w:pPr>
      <w:r>
        <w:rPr>
          <w:rFonts w:hint="eastAsia"/>
          <w:lang w:val="en-US" w:eastAsia="zh-CN"/>
        </w:rPr>
        <w:t>第一作者上标插入脚注</w:t>
      </w:r>
    </w:p>
    <w:p w14:paraId="318BC5BF">
      <w:pPr>
        <w:pStyle w:val="4"/>
        <w:rPr>
          <w:rFonts w:hint="default"/>
          <w:lang w:val="en-US" w:eastAsia="zh-CN"/>
        </w:rPr>
      </w:pPr>
      <w:r>
        <w:rPr>
          <w:rFonts w:hint="eastAsia"/>
          <w:color w:val="auto"/>
          <w:highlight w:val="red"/>
          <w:lang w:val="en-US" w:eastAsia="zh-CN"/>
        </w:rPr>
        <w:t>脚注中填写</w:t>
      </w:r>
      <w:r>
        <w:rPr>
          <w:rFonts w:hint="default"/>
          <w:color w:val="auto"/>
          <w:highlight w:val="red"/>
          <w:lang w:val="en-US" w:eastAsia="zh-CN"/>
        </w:rPr>
        <w:t>作者信息</w:t>
      </w:r>
      <w:r>
        <w:rPr>
          <w:rFonts w:hint="eastAsia"/>
          <w:lang w:val="en-US" w:eastAsia="zh-CN"/>
        </w:rPr>
        <w:t>：姓名</w:t>
      </w:r>
      <w:r>
        <w:rPr>
          <w:rFonts w:hint="default"/>
          <w:lang w:val="en-US" w:eastAsia="zh-CN"/>
        </w:rPr>
        <w:t>（出生年-</w:t>
      </w:r>
      <w:r>
        <w:rPr>
          <w:rFonts w:hint="eastAsia"/>
          <w:lang w:val="en-US" w:eastAsia="zh-CN"/>
        </w:rPr>
        <w:t>）</w:t>
      </w:r>
      <w:r>
        <w:rPr>
          <w:rFonts w:hint="default"/>
          <w:lang w:val="en-US" w:eastAsia="zh-CN"/>
        </w:rPr>
        <w:t>，性别，学历，职称，主要研究方向。Email</w:t>
      </w:r>
    </w:p>
  </w:comment>
  <w:comment w:id="1" w:author="大磊" w:date="2024-02-07T13:32:18Z" w:initials="">
    <w:p w14:paraId="70890B71">
      <w:pPr>
        <w:pStyle w:val="4"/>
      </w:pPr>
      <w:r>
        <w:rPr>
          <w:rFonts w:hint="eastAsia"/>
          <w:lang w:val="en-US" w:eastAsia="zh-CN"/>
        </w:rPr>
        <w:t>字号：五号；格式：居中</w:t>
      </w:r>
    </w:p>
  </w:comment>
  <w:comment w:id="4" w:author="大磊" w:date="2024-02-07T13:53:44Z" w:initials="">
    <w:p w14:paraId="59F27F38">
      <w:pPr>
        <w:pStyle w:val="4"/>
      </w:pPr>
      <w:r>
        <w:rPr>
          <w:rFonts w:hint="eastAsia"/>
          <w:lang w:val="en-US" w:eastAsia="zh-CN"/>
        </w:rPr>
        <w:t>间隔：一个字距</w:t>
      </w:r>
    </w:p>
  </w:comment>
  <w:comment w:id="3" w:author="大磊" w:date="2024-02-07T13:20:04Z" w:initials="">
    <w:p w14:paraId="306E3362">
      <w:pPr>
        <w:pStyle w:val="4"/>
        <w:rPr>
          <w:rFonts w:hint="default"/>
          <w:sz w:val="24"/>
          <w:szCs w:val="24"/>
          <w:lang w:val="en-US" w:eastAsia="zh-CN"/>
        </w:rPr>
      </w:pPr>
      <w:r>
        <w:rPr>
          <w:rFonts w:hint="eastAsia"/>
          <w:sz w:val="24"/>
          <w:szCs w:val="24"/>
          <w:lang w:val="en-US" w:eastAsia="zh-CN"/>
        </w:rPr>
        <w:t>字号：五号；格式：两端对齐</w:t>
      </w:r>
    </w:p>
  </w:comment>
  <w:comment w:id="5" w:author="大磊" w:date="2024-02-07T13:28:56Z" w:initials="">
    <w:p w14:paraId="7FA50AA3">
      <w:pPr>
        <w:pStyle w:val="4"/>
        <w:rPr>
          <w:rFonts w:hint="eastAsia" w:eastAsia="宋体"/>
          <w:lang w:val="en-US" w:eastAsia="zh-CN"/>
        </w:rPr>
      </w:pPr>
      <w:r>
        <w:rPr>
          <w:rFonts w:hint="eastAsia"/>
          <w:lang w:val="en-US" w:eastAsia="zh-CN"/>
        </w:rPr>
        <w:t>加粗</w:t>
      </w:r>
    </w:p>
  </w:comment>
  <w:comment w:id="6" w:author="大磊" w:date="2024-02-07T13:21:30Z" w:initials="">
    <w:p w14:paraId="6CA86EAB">
      <w:pPr>
        <w:pStyle w:val="4"/>
        <w:rPr>
          <w:rFonts w:hint="default" w:eastAsia="宋体"/>
          <w:lang w:val="en-US" w:eastAsia="zh-CN"/>
        </w:rPr>
      </w:pPr>
      <w:r>
        <w:rPr>
          <w:rFonts w:hint="eastAsia"/>
          <w:lang w:val="en-US" w:eastAsia="zh-CN"/>
        </w:rPr>
        <w:t>字号：五号；格式：两端对齐</w:t>
      </w:r>
    </w:p>
  </w:comment>
  <w:comment w:id="7" w:author="大磊" w:date="2024-02-07T13:29:09Z" w:initials="">
    <w:p w14:paraId="02E131F8">
      <w:pPr>
        <w:pStyle w:val="4"/>
        <w:rPr>
          <w:rFonts w:hint="eastAsia" w:eastAsia="宋体"/>
          <w:lang w:val="en-US" w:eastAsia="zh-CN"/>
        </w:rPr>
      </w:pPr>
      <w:r>
        <w:rPr>
          <w:rFonts w:hint="eastAsia"/>
          <w:lang w:val="en-US" w:eastAsia="zh-CN"/>
        </w:rPr>
        <w:t>加粗</w:t>
      </w:r>
    </w:p>
  </w:comment>
  <w:comment w:id="8" w:author="大磊" w:date="2024-02-07T13:36:46Z" w:initials="">
    <w:p w14:paraId="7587518B">
      <w:pPr>
        <w:pStyle w:val="4"/>
        <w:spacing w:line="240" w:lineRule="auto"/>
        <w:rPr>
          <w:rFonts w:hint="default"/>
          <w:lang w:val="en-US"/>
        </w:rPr>
      </w:pPr>
      <w:r>
        <w:rPr>
          <w:rFonts w:hint="eastAsia"/>
          <w:lang w:val="en-US" w:eastAsia="zh-CN"/>
        </w:rPr>
        <w:t>字号：三号，加粗；格式：居中</w:t>
      </w:r>
    </w:p>
  </w:comment>
  <w:comment w:id="10" w:author="大磊" w:date="2024-02-07T15:13:13Z" w:initials="">
    <w:p w14:paraId="61951D16">
      <w:pPr>
        <w:pStyle w:val="4"/>
      </w:pPr>
      <w:r>
        <w:rPr>
          <w:rFonts w:hint="eastAsia"/>
          <w:lang w:val="en-US" w:eastAsia="zh-CN"/>
        </w:rPr>
        <w:t>间隔：一个字距</w:t>
      </w:r>
    </w:p>
  </w:comment>
  <w:comment w:id="9" w:author="大磊" w:date="2024-02-07T14:51:08Z" w:initials="">
    <w:p w14:paraId="3C984185">
      <w:pPr>
        <w:pStyle w:val="4"/>
        <w:jc w:val="both"/>
      </w:pPr>
      <w:r>
        <w:rPr>
          <w:rFonts w:hint="eastAsia"/>
          <w:lang w:val="en-US" w:eastAsia="zh-CN"/>
        </w:rPr>
        <w:t>字号：五号；格式：两端对齐</w:t>
      </w:r>
    </w:p>
  </w:comment>
  <w:comment w:id="11" w:author="大磊" w:date="2024-02-07T15:09:19Z" w:initials="">
    <w:p w14:paraId="3ECF5129">
      <w:pPr>
        <w:pStyle w:val="4"/>
      </w:pPr>
      <w:r>
        <w:rPr>
          <w:rFonts w:hint="eastAsia"/>
          <w:lang w:val="en-US" w:eastAsia="zh-CN"/>
        </w:rPr>
        <w:t>字号：五号；格式：左对齐</w:t>
      </w:r>
    </w:p>
  </w:comment>
  <w:comment w:id="12" w:author="大磊" w:date="2024-02-07T15:19:20Z" w:initials="">
    <w:p w14:paraId="4B767DBF">
      <w:pPr>
        <w:pStyle w:val="4"/>
        <w:jc w:val="both"/>
      </w:pPr>
      <w:r>
        <w:rPr>
          <w:rFonts w:hint="eastAsia"/>
          <w:lang w:val="en-US" w:eastAsia="zh-CN"/>
        </w:rPr>
        <w:t>字号：五号；首行缩进：2字符</w:t>
      </w:r>
    </w:p>
  </w:comment>
  <w:comment w:id="14" w:author="大磊" w:date="2024-02-07T15:25:16Z" w:initials="">
    <w:p w14:paraId="302E1C2C">
      <w:pPr>
        <w:pStyle w:val="4"/>
      </w:pPr>
      <w:r>
        <w:rPr>
          <w:rFonts w:hint="eastAsia"/>
          <w:lang w:val="en-US" w:eastAsia="zh-CN"/>
        </w:rPr>
        <w:t>间隔：一个字距</w:t>
      </w:r>
    </w:p>
  </w:comment>
  <w:comment w:id="15" w:author="大磊" w:date="2024-02-07T15:27:16Z" w:initials="">
    <w:p w14:paraId="1CE206A9">
      <w:pPr>
        <w:pStyle w:val="4"/>
      </w:pPr>
      <w:r>
        <w:rPr>
          <w:rFonts w:hint="eastAsia"/>
          <w:lang w:val="en-US" w:eastAsia="zh-CN"/>
        </w:rPr>
        <w:t>间隔：一个字距</w:t>
      </w:r>
    </w:p>
  </w:comment>
  <w:comment w:id="13" w:author="大磊" w:date="2024-02-07T15:26:23Z" w:initials="">
    <w:p w14:paraId="7F9A59AC">
      <w:pPr>
        <w:pStyle w:val="4"/>
      </w:pPr>
      <w:r>
        <w:rPr>
          <w:rFonts w:hint="eastAsia"/>
          <w:lang w:val="en-US" w:eastAsia="zh-CN"/>
        </w:rPr>
        <w:t>字号：五号，加粗</w:t>
      </w:r>
    </w:p>
  </w:comment>
  <w:comment w:id="16" w:author="大磊" w:date="2024-02-08T13:17:52Z" w:initials="">
    <w:p w14:paraId="0C1628DE">
      <w:pPr>
        <w:pStyle w:val="4"/>
        <w:jc w:val="both"/>
      </w:pPr>
      <w:r>
        <w:rPr>
          <w:rFonts w:hint="eastAsia"/>
          <w:lang w:val="en-US" w:eastAsia="zh-CN"/>
        </w:rPr>
        <w:t>字号：五号；首行缩进：2字符</w:t>
      </w:r>
    </w:p>
  </w:comment>
  <w:comment w:id="17" w:author="大磊" w:date="2024-02-07T15:46:37Z" w:initials="">
    <w:p w14:paraId="353274CF">
      <w:pPr>
        <w:pStyle w:val="4"/>
        <w:rPr>
          <w:rFonts w:hint="eastAsia"/>
          <w:lang w:val="en-US" w:eastAsia="zh-CN"/>
        </w:rPr>
      </w:pPr>
      <w:r>
        <w:rPr>
          <w:rFonts w:hint="eastAsia"/>
          <w:lang w:val="en-US" w:eastAsia="zh-CN"/>
        </w:rPr>
        <w:t>布局选项：嵌入型；格式：居中</w:t>
      </w:r>
    </w:p>
    <w:p w14:paraId="4E572F4F">
      <w:pPr>
        <w:pStyle w:val="4"/>
        <w:rPr>
          <w:rFonts w:hint="default" w:eastAsia="宋体"/>
          <w:lang w:val="en-US" w:eastAsia="zh-CN"/>
        </w:rPr>
      </w:pPr>
      <w:r>
        <w:rPr>
          <w:rFonts w:hint="eastAsia" w:ascii="Times New Roman" w:hAnsi="Times New Roman" w:cs="Times New Roman"/>
          <w:szCs w:val="21"/>
          <w:lang w:val="en-US" w:eastAsia="zh-CN"/>
        </w:rPr>
        <w:t>插图要求用计算机绘制，图序和图题</w:t>
      </w:r>
      <w:r>
        <w:rPr>
          <w:rFonts w:ascii="Times New Roman" w:hAnsi="Times New Roman" w:cs="Times New Roman"/>
          <w:szCs w:val="21"/>
        </w:rPr>
        <w:t>后空</w:t>
      </w:r>
      <w:r>
        <w:rPr>
          <w:rFonts w:hint="eastAsia" w:ascii="Times New Roman" w:hAnsi="Times New Roman" w:cs="Times New Roman"/>
          <w:szCs w:val="21"/>
          <w:lang w:val="en-US" w:eastAsia="zh-CN"/>
        </w:rPr>
        <w:t>一</w:t>
      </w:r>
      <w:r>
        <w:rPr>
          <w:rFonts w:ascii="Times New Roman" w:hAnsi="Times New Roman" w:cs="Times New Roman"/>
          <w:szCs w:val="21"/>
        </w:rPr>
        <w:t>个字距接</w:t>
      </w:r>
      <w:r>
        <w:rPr>
          <w:rFonts w:hint="eastAsia" w:ascii="Times New Roman" w:hAnsi="Times New Roman" w:cs="Times New Roman"/>
          <w:szCs w:val="21"/>
          <w:lang w:val="en-US" w:eastAsia="zh-CN"/>
        </w:rPr>
        <w:t>内容，居中排于图下方。</w:t>
      </w:r>
      <w:r>
        <w:rPr>
          <w:rFonts w:ascii="Times New Roman" w:hAnsi="Times New Roman" w:cs="Times New Roman"/>
          <w:szCs w:val="21"/>
        </w:rPr>
        <w:t>图序以阿拉伯数字连续编号</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只有一个插图时图序为1，图题需英文翻译。</w:t>
      </w:r>
      <w:r>
        <w:rPr>
          <w:rFonts w:ascii="Times New Roman" w:hAnsi="Times New Roman" w:cs="Times New Roman"/>
          <w:szCs w:val="21"/>
        </w:rPr>
        <w:t>图随文编排，先见文字后见图。图中的术语、符号、单位、缩略词等应与表格及文字表述所用一致。</w:t>
      </w:r>
      <w:r>
        <w:rPr>
          <w:rFonts w:hint="eastAsia" w:cs="Times New Roman"/>
          <w:color w:val="FF0000"/>
          <w:szCs w:val="21"/>
          <w:lang w:val="en-US" w:eastAsia="zh-CN"/>
        </w:rPr>
        <w:t>图片分辨率不低于600像素/英寸</w:t>
      </w:r>
      <w:r>
        <w:rPr>
          <w:rFonts w:hint="eastAsia" w:cs="Times New Roman"/>
          <w:szCs w:val="21"/>
          <w:lang w:val="en-US" w:eastAsia="zh-CN"/>
        </w:rPr>
        <w:t>。</w:t>
      </w:r>
    </w:p>
  </w:comment>
  <w:comment w:id="18" w:author="大磊" w:date="2024-02-07T15:50:32Z" w:initials="">
    <w:p w14:paraId="7D864B96">
      <w:pPr>
        <w:pStyle w:val="4"/>
      </w:pPr>
      <w:r>
        <w:rPr>
          <w:rFonts w:hint="eastAsia"/>
          <w:lang w:val="en-US" w:eastAsia="zh-CN"/>
        </w:rPr>
        <w:t>字号：五号，加粗；格式：居中</w:t>
      </w:r>
    </w:p>
  </w:comment>
  <w:comment w:id="19" w:author="大磊" w:date="2024-02-08T13:18:08Z" w:initials="">
    <w:p w14:paraId="2ACA009E">
      <w:pPr>
        <w:pStyle w:val="4"/>
      </w:pPr>
      <w:r>
        <w:rPr>
          <w:rFonts w:hint="eastAsia"/>
          <w:lang w:val="en-US" w:eastAsia="zh-CN"/>
        </w:rPr>
        <w:t>字号：五号；首行缩进：2字符</w:t>
      </w:r>
    </w:p>
  </w:comment>
  <w:comment w:id="20" w:author="大磊" w:date="2024-02-07T16:03:19Z" w:initials="">
    <w:p w14:paraId="4007575F">
      <w:pPr>
        <w:pStyle w:val="4"/>
      </w:pPr>
      <w:r>
        <w:rPr>
          <w:rFonts w:hint="eastAsia"/>
          <w:lang w:val="en-US" w:eastAsia="zh-CN"/>
        </w:rPr>
        <w:t>字号：五号，加粗；格式：居中</w:t>
      </w:r>
    </w:p>
  </w:comment>
  <w:comment w:id="21" w:author="大磊" w:date="2024-02-07T16:13:01Z" w:initials="">
    <w:p w14:paraId="64882BC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pPr>
      <w:r>
        <w:rPr>
          <w:rFonts w:ascii="Times New Roman" w:hAnsi="Times New Roman" w:cs="Times New Roman"/>
          <w:szCs w:val="21"/>
        </w:rPr>
        <w:t>表要精选，并采用三线表</w:t>
      </w:r>
      <w:r>
        <w:rPr>
          <w:rFonts w:hint="eastAsia" w:ascii="Times New Roman" w:hAnsi="Times New Roman" w:cs="Times New Roman"/>
          <w:szCs w:val="21"/>
          <w:lang w:val="en-US" w:eastAsia="zh-CN"/>
        </w:rPr>
        <w:t>设计</w:t>
      </w:r>
      <w:r>
        <w:rPr>
          <w:rFonts w:ascii="Times New Roman" w:hAnsi="Times New Roman" w:cs="Times New Roman"/>
          <w:szCs w:val="21"/>
        </w:rPr>
        <w:t>，</w:t>
      </w:r>
      <w:r>
        <w:rPr>
          <w:rFonts w:hint="eastAsia" w:cs="Times New Roman"/>
          <w:color w:val="FF0000"/>
          <w:szCs w:val="21"/>
          <w:lang w:val="en-US" w:eastAsia="zh-CN"/>
        </w:rPr>
        <w:t>单倍行距</w:t>
      </w:r>
      <w:r>
        <w:rPr>
          <w:rFonts w:hint="eastAsia" w:cs="Times New Roman"/>
          <w:szCs w:val="21"/>
          <w:lang w:val="en-US" w:eastAsia="zh-CN"/>
        </w:rPr>
        <w:t>，</w:t>
      </w:r>
      <w:r>
        <w:rPr>
          <w:rFonts w:ascii="Times New Roman" w:hAnsi="Times New Roman" w:cs="Times New Roman"/>
          <w:szCs w:val="21"/>
        </w:rPr>
        <w:t>必要时可加辅助线。</w:t>
      </w:r>
      <w:r>
        <w:rPr>
          <w:rFonts w:hint="eastAsia" w:ascii="Times New Roman" w:hAnsi="Times New Roman" w:cs="Times New Roman"/>
          <w:szCs w:val="21"/>
          <w:lang w:val="en-US" w:eastAsia="zh-CN"/>
        </w:rPr>
        <w:t>表序和表题</w:t>
      </w:r>
      <w:r>
        <w:rPr>
          <w:rFonts w:ascii="Times New Roman" w:hAnsi="Times New Roman" w:cs="Times New Roman"/>
          <w:szCs w:val="21"/>
        </w:rPr>
        <w:t>后空</w:t>
      </w:r>
      <w:r>
        <w:rPr>
          <w:rFonts w:hint="eastAsia" w:ascii="Times New Roman" w:hAnsi="Times New Roman" w:cs="Times New Roman"/>
          <w:szCs w:val="21"/>
          <w:lang w:val="en-US" w:eastAsia="zh-CN"/>
        </w:rPr>
        <w:t>一</w:t>
      </w:r>
      <w:r>
        <w:rPr>
          <w:rFonts w:ascii="Times New Roman" w:hAnsi="Times New Roman" w:cs="Times New Roman"/>
          <w:szCs w:val="21"/>
        </w:rPr>
        <w:t>个字距接</w:t>
      </w:r>
      <w:r>
        <w:rPr>
          <w:rFonts w:hint="eastAsia" w:ascii="Times New Roman" w:hAnsi="Times New Roman" w:cs="Times New Roman"/>
          <w:szCs w:val="21"/>
          <w:lang w:val="en-US" w:eastAsia="zh-CN"/>
        </w:rPr>
        <w:t>内容，居中排于表上方。表</w:t>
      </w:r>
      <w:r>
        <w:rPr>
          <w:rFonts w:ascii="Times New Roman" w:hAnsi="Times New Roman" w:cs="Times New Roman"/>
          <w:szCs w:val="21"/>
        </w:rPr>
        <w:t>序以阿拉伯数字连续编号</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只有一个表格时表序为1，表题需英文翻译。表</w:t>
      </w:r>
      <w:r>
        <w:rPr>
          <w:rFonts w:ascii="Times New Roman" w:hAnsi="Times New Roman" w:cs="Times New Roman"/>
          <w:szCs w:val="21"/>
        </w:rPr>
        <w:t>随文编排，先见文字后见</w:t>
      </w:r>
      <w:r>
        <w:rPr>
          <w:rFonts w:hint="eastAsia" w:ascii="Times New Roman" w:hAnsi="Times New Roman" w:cs="Times New Roman"/>
          <w:szCs w:val="21"/>
          <w:lang w:val="en-US" w:eastAsia="zh-CN"/>
        </w:rPr>
        <w:t>表</w:t>
      </w:r>
      <w:r>
        <w:rPr>
          <w:rFonts w:ascii="Times New Roman" w:hAnsi="Times New Roman" w:cs="Times New Roman"/>
          <w:szCs w:val="21"/>
        </w:rPr>
        <w:t>。表中的术语、符号、单位、缩略词等与图和文字表述所用的一致。</w:t>
      </w:r>
    </w:p>
  </w:comment>
  <w:comment w:id="22" w:author="大磊" w:date="2024-02-08T13:18:19Z" w:initials="">
    <w:p w14:paraId="79BC3EAE">
      <w:pPr>
        <w:pStyle w:val="4"/>
      </w:pPr>
      <w:r>
        <w:rPr>
          <w:rFonts w:hint="eastAsia"/>
          <w:lang w:val="en-US" w:eastAsia="zh-CN"/>
        </w:rPr>
        <w:t>字号：五号；首行缩进：2字符</w:t>
      </w:r>
    </w:p>
  </w:comment>
  <w:comment w:id="23" w:author="大磊" w:date="2024-02-08T13:33:22Z" w:initials="">
    <w:p w14:paraId="0AF42807">
      <w:pPr>
        <w:pStyle w:val="4"/>
        <w:rPr>
          <w:rFonts w:hint="default" w:eastAsia="宋体"/>
          <w:lang w:val="en-US" w:eastAsia="zh-CN"/>
        </w:rPr>
      </w:pPr>
      <w:r>
        <w:rPr>
          <w:rFonts w:hint="eastAsia"/>
          <w:lang w:val="en-US" w:eastAsia="zh-CN"/>
        </w:rPr>
        <w:t>子图以(a)，(b)，(c)……排序</w:t>
      </w:r>
    </w:p>
  </w:comment>
  <w:comment w:id="24" w:author="大磊" w:date="2024-02-08T13:18:55Z" w:initials="">
    <w:p w14:paraId="3036342C">
      <w:pPr>
        <w:pStyle w:val="4"/>
      </w:pPr>
      <w:r>
        <w:rPr>
          <w:rFonts w:hint="eastAsia"/>
          <w:lang w:val="en-US" w:eastAsia="zh-CN"/>
        </w:rPr>
        <w:t>字号：五号；首行缩进：2字符</w:t>
      </w:r>
    </w:p>
  </w:comment>
  <w:comment w:id="25" w:author="大磊" w:date="2024-02-08T13:19:05Z" w:initials="">
    <w:p w14:paraId="244D4BF7">
      <w:pPr>
        <w:pStyle w:val="4"/>
      </w:pPr>
      <w:r>
        <w:rPr>
          <w:rFonts w:hint="eastAsia"/>
          <w:lang w:val="en-US" w:eastAsia="zh-CN"/>
        </w:rPr>
        <w:t>字号：五号；首行缩进：2字符</w:t>
      </w:r>
    </w:p>
  </w:comment>
  <w:comment w:id="26" w:author="大磊" w:date="2024-02-08T13:36:39Z" w:initials="">
    <w:p w14:paraId="10C546F0">
      <w:pPr>
        <w:pStyle w:val="4"/>
      </w:pPr>
      <w:r>
        <w:rPr>
          <w:rFonts w:hint="eastAsia"/>
          <w:lang w:val="en-US" w:eastAsia="zh-CN"/>
        </w:rPr>
        <w:t>字号：五号，加粗；格式：居中</w:t>
      </w:r>
    </w:p>
    <w:p w14:paraId="667F3FF7">
      <w:pPr>
        <w:pStyle w:val="4"/>
        <w:rPr>
          <w:rFonts w:hint="default" w:eastAsia="宋体"/>
          <w:lang w:val="en-US" w:eastAsia="zh-CN"/>
        </w:rPr>
      </w:pPr>
      <w:r>
        <w:rPr>
          <w:rFonts w:hint="default" w:eastAsia="宋体"/>
          <w:lang w:val="en-US" w:eastAsia="zh-CN"/>
        </w:rPr>
        <w:t>参考文献只列出直接引用并已公开发表的文章、著作等，</w:t>
      </w:r>
      <w:r>
        <w:rPr>
          <w:rFonts w:hint="default" w:eastAsia="宋体"/>
          <w:color w:val="FF0000"/>
          <w:lang w:val="en-US" w:eastAsia="zh-CN"/>
        </w:rPr>
        <w:t>以10篇以上为宜</w:t>
      </w:r>
      <w:r>
        <w:rPr>
          <w:rFonts w:hint="default" w:eastAsia="宋体"/>
          <w:lang w:val="en-US" w:eastAsia="zh-CN"/>
        </w:rPr>
        <w:t>，主要为近5年出版的文献。</w:t>
      </w:r>
      <w:r>
        <w:rPr>
          <w:rFonts w:ascii="Times New Roman" w:hAnsi="Times New Roman" w:cs="Times New Roman"/>
          <w:szCs w:val="21"/>
        </w:rPr>
        <w:t>按正文中出现的先后排序并著录（</w:t>
      </w:r>
      <w:r>
        <w:rPr>
          <w:rFonts w:ascii="Times New Roman" w:hAnsi="Times New Roman" w:cs="Times New Roman"/>
          <w:color w:val="FF0000"/>
          <w:szCs w:val="21"/>
        </w:rPr>
        <w:t>顺序编码制</w:t>
      </w:r>
      <w:r>
        <w:rPr>
          <w:rFonts w:ascii="Times New Roman" w:hAnsi="Times New Roman" w:cs="Times New Roman"/>
          <w:szCs w:val="21"/>
        </w:rPr>
        <w:t>）。文献序号加方括号，在正文引用处以上标方式标注。</w:t>
      </w:r>
    </w:p>
  </w:comment>
  <w:comment w:id="27" w:author="大磊" w:date="2024-02-08T13:20:10Z" w:initials="">
    <w:p w14:paraId="0FEC07FE">
      <w:pPr>
        <w:pStyle w:val="4"/>
      </w:pPr>
      <w:r>
        <w:rPr>
          <w:rFonts w:hint="eastAsia"/>
          <w:lang w:val="en-US" w:eastAsia="zh-CN"/>
        </w:rPr>
        <w:t>间隔：一个字距</w:t>
      </w:r>
    </w:p>
  </w:comment>
  <w:comment w:id="28" w:author="大磊" w:date="2024-02-08T13:40:44Z" w:initials="">
    <w:p w14:paraId="723F6FD2">
      <w:pPr>
        <w:pStyle w:val="4"/>
      </w:pPr>
      <w:r>
        <w:rPr>
          <w:rFonts w:ascii="Times New Roman" w:hAnsi="Times New Roman" w:cs="Times New Roman"/>
          <w:szCs w:val="21"/>
        </w:rPr>
        <w:t>3人</w:t>
      </w:r>
      <w:r>
        <w:rPr>
          <w:rFonts w:hint="eastAsia" w:cs="Times New Roman"/>
          <w:szCs w:val="21"/>
          <w:lang w:val="en-US" w:eastAsia="zh-CN"/>
        </w:rPr>
        <w:t>以内作者</w:t>
      </w:r>
      <w:r>
        <w:rPr>
          <w:rFonts w:ascii="Times New Roman" w:hAnsi="Times New Roman" w:cs="Times New Roman"/>
          <w:szCs w:val="21"/>
        </w:rPr>
        <w:t>全部列出</w:t>
      </w:r>
      <w:r>
        <w:rPr>
          <w:rFonts w:hint="eastAsia" w:cs="Times New Roman"/>
          <w:szCs w:val="21"/>
          <w:lang w:eastAsia="zh-CN"/>
        </w:rPr>
        <w:t>。</w:t>
      </w:r>
    </w:p>
  </w:comment>
  <w:comment w:id="29" w:author="大磊" w:date="2024-02-08T13:27:59Z" w:initials="">
    <w:p w14:paraId="1D13290D">
      <w:pPr>
        <w:pStyle w:val="4"/>
        <w:rPr>
          <w:rFonts w:hint="eastAsia" w:eastAsia="宋体"/>
          <w:lang w:eastAsia="zh-CN"/>
        </w:rPr>
      </w:pPr>
      <w:r>
        <w:rPr>
          <w:rFonts w:hint="default" w:ascii="Times New Roman" w:hAnsi="Times New Roman" w:eastAsia="宋体" w:cs="Times New Roman"/>
          <w:i w:val="0"/>
          <w:iCs w:val="0"/>
          <w:caps w:val="0"/>
          <w:color w:val="191B1F"/>
          <w:spacing w:val="0"/>
          <w:sz w:val="27"/>
          <w:szCs w:val="27"/>
          <w:shd w:val="clear" w:fill="FFFFFF"/>
        </w:rPr>
        <w:t>3人以上作者只著录前3人</w:t>
      </w:r>
      <w:r>
        <w:rPr>
          <w:rFonts w:hint="default" w:ascii="Times New Roman" w:hAnsi="Times New Roman" w:eastAsia="宋体" w:cs="Times New Roman"/>
          <w:i w:val="0"/>
          <w:iCs w:val="0"/>
          <w:caps w:val="0"/>
          <w:color w:val="191B1F"/>
          <w:spacing w:val="0"/>
          <w:sz w:val="27"/>
          <w:szCs w:val="27"/>
          <w:shd w:val="clear" w:fill="FFFFFF"/>
          <w:lang w:eastAsia="zh-CN"/>
        </w:rPr>
        <w:t>，</w:t>
      </w:r>
      <w:r>
        <w:rPr>
          <w:rFonts w:hint="default" w:ascii="Times New Roman" w:hAnsi="Times New Roman" w:eastAsia="宋体" w:cs="Times New Roman"/>
          <w:i w:val="0"/>
          <w:iCs w:val="0"/>
          <w:caps w:val="0"/>
          <w:color w:val="191B1F"/>
          <w:spacing w:val="0"/>
          <w:sz w:val="27"/>
          <w:szCs w:val="27"/>
          <w:shd w:val="clear" w:fill="FFFFFF"/>
        </w:rPr>
        <w:t>中文后加</w:t>
      </w:r>
      <w:r>
        <w:rPr>
          <w:rFonts w:hint="eastAsia" w:cs="Times New Roman"/>
          <w:i w:val="0"/>
          <w:iCs w:val="0"/>
          <w:caps w:val="0"/>
          <w:color w:val="191B1F"/>
          <w:spacing w:val="0"/>
          <w:sz w:val="27"/>
          <w:szCs w:val="27"/>
          <w:shd w:val="clear" w:fill="FFFFFF"/>
          <w:lang w:eastAsia="zh-CN"/>
        </w:rPr>
        <w:t>“</w:t>
      </w:r>
      <w:r>
        <w:rPr>
          <w:rFonts w:hint="eastAsia" w:cs="Times New Roman"/>
          <w:i w:val="0"/>
          <w:iCs w:val="0"/>
          <w:caps w:val="0"/>
          <w:color w:val="191B1F"/>
          <w:spacing w:val="0"/>
          <w:sz w:val="27"/>
          <w:szCs w:val="27"/>
          <w:shd w:val="clear" w:fill="FFFFFF"/>
          <w:lang w:val="en-US" w:eastAsia="zh-CN"/>
        </w:rPr>
        <w:t>,</w:t>
      </w:r>
      <w:r>
        <w:rPr>
          <w:rFonts w:hint="default" w:ascii="Times New Roman" w:hAnsi="Times New Roman" w:eastAsia="宋体" w:cs="Times New Roman"/>
          <w:i w:val="0"/>
          <w:iCs w:val="0"/>
          <w:caps w:val="0"/>
          <w:color w:val="191B1F"/>
          <w:spacing w:val="0"/>
          <w:sz w:val="27"/>
          <w:szCs w:val="27"/>
          <w:shd w:val="clear" w:fill="FFFFFF"/>
        </w:rPr>
        <w:t>等</w:t>
      </w:r>
      <w:r>
        <w:rPr>
          <w:rFonts w:hint="eastAsia" w:cs="Times New Roman"/>
          <w:i w:val="0"/>
          <w:iCs w:val="0"/>
          <w:caps w:val="0"/>
          <w:color w:val="191B1F"/>
          <w:spacing w:val="0"/>
          <w:sz w:val="27"/>
          <w:szCs w:val="27"/>
          <w:shd w:val="clear" w:fill="FFFFFF"/>
          <w:lang w:val="en-US" w:eastAsia="zh-CN"/>
        </w:rPr>
        <w:t>.</w:t>
      </w:r>
      <w:r>
        <w:rPr>
          <w:rFonts w:hint="eastAsia" w:cs="Times New Roman"/>
          <w:i w:val="0"/>
          <w:iCs w:val="0"/>
          <w:caps w:val="0"/>
          <w:color w:val="191B1F"/>
          <w:spacing w:val="0"/>
          <w:sz w:val="27"/>
          <w:szCs w:val="27"/>
          <w:shd w:val="clear" w:fill="FFFFFF"/>
          <w:lang w:eastAsia="zh-CN"/>
        </w:rPr>
        <w:t>”</w:t>
      </w:r>
      <w:r>
        <w:rPr>
          <w:rFonts w:hint="default" w:ascii="Times New Roman" w:hAnsi="Times New Roman" w:eastAsia="宋体" w:cs="Times New Roman"/>
          <w:i w:val="0"/>
          <w:iCs w:val="0"/>
          <w:caps w:val="0"/>
          <w:color w:val="191B1F"/>
          <w:spacing w:val="0"/>
          <w:sz w:val="27"/>
          <w:szCs w:val="27"/>
          <w:shd w:val="clear" w:fill="FFFFFF"/>
        </w:rPr>
        <w:t>，外文后用</w:t>
      </w:r>
      <w:r>
        <w:rPr>
          <w:rFonts w:hint="eastAsia" w:cs="Times New Roman"/>
          <w:i w:val="0"/>
          <w:iCs w:val="0"/>
          <w:caps w:val="0"/>
          <w:color w:val="191B1F"/>
          <w:spacing w:val="0"/>
          <w:sz w:val="27"/>
          <w:szCs w:val="27"/>
          <w:shd w:val="clear" w:fill="FFFFFF"/>
          <w:lang w:eastAsia="zh-CN"/>
        </w:rPr>
        <w:t>“</w:t>
      </w:r>
      <w:r>
        <w:rPr>
          <w:rFonts w:hint="eastAsia" w:cs="Times New Roman"/>
          <w:i w:val="0"/>
          <w:iCs w:val="0"/>
          <w:caps w:val="0"/>
          <w:color w:val="191B1F"/>
          <w:spacing w:val="0"/>
          <w:sz w:val="27"/>
          <w:szCs w:val="27"/>
          <w:shd w:val="clear" w:fill="FFFFFF"/>
          <w:lang w:val="en-US" w:eastAsia="zh-CN"/>
        </w:rPr>
        <w:t>, et al.</w:t>
      </w:r>
      <w:r>
        <w:rPr>
          <w:rFonts w:hint="eastAsia" w:cs="Times New Roman"/>
          <w:i w:val="0"/>
          <w:iCs w:val="0"/>
          <w:caps w:val="0"/>
          <w:color w:val="191B1F"/>
          <w:spacing w:val="0"/>
          <w:sz w:val="27"/>
          <w:szCs w:val="27"/>
          <w:shd w:val="clear" w:fill="FFFFFF"/>
          <w:lang w:eastAsia="zh-CN"/>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55206B5" w15:done="0"/>
  <w15:commentEx w15:paraId="318BC5BF" w15:done="0"/>
  <w15:commentEx w15:paraId="70890B71" w15:done="0"/>
  <w15:commentEx w15:paraId="59F27F38" w15:done="0"/>
  <w15:commentEx w15:paraId="306E3362" w15:done="0"/>
  <w15:commentEx w15:paraId="7FA50AA3" w15:done="0"/>
  <w15:commentEx w15:paraId="6CA86EAB" w15:done="0"/>
  <w15:commentEx w15:paraId="02E131F8" w15:done="0"/>
  <w15:commentEx w15:paraId="7587518B" w15:done="0"/>
  <w15:commentEx w15:paraId="61951D16" w15:done="0"/>
  <w15:commentEx w15:paraId="3C984185" w15:done="0"/>
  <w15:commentEx w15:paraId="3ECF5129" w15:done="0"/>
  <w15:commentEx w15:paraId="4B767DBF" w15:done="0"/>
  <w15:commentEx w15:paraId="302E1C2C" w15:done="0"/>
  <w15:commentEx w15:paraId="1CE206A9" w15:done="0"/>
  <w15:commentEx w15:paraId="7F9A59AC" w15:done="0"/>
  <w15:commentEx w15:paraId="0C1628DE" w15:done="0"/>
  <w15:commentEx w15:paraId="4E572F4F" w15:done="0"/>
  <w15:commentEx w15:paraId="7D864B96" w15:done="0"/>
  <w15:commentEx w15:paraId="2ACA009E" w15:done="0"/>
  <w15:commentEx w15:paraId="4007575F" w15:done="0"/>
  <w15:commentEx w15:paraId="64882BC8" w15:done="0"/>
  <w15:commentEx w15:paraId="79BC3EAE" w15:done="0"/>
  <w15:commentEx w15:paraId="0AF42807" w15:done="0"/>
  <w15:commentEx w15:paraId="3036342C" w15:done="0"/>
  <w15:commentEx w15:paraId="244D4BF7" w15:done="0"/>
  <w15:commentEx w15:paraId="667F3FF7" w15:done="0"/>
  <w15:commentEx w15:paraId="0FEC07FE" w15:done="0"/>
  <w15:commentEx w15:paraId="723F6FD2" w15:done="0"/>
  <w15:commentEx w15:paraId="1D1329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60" w:lineRule="auto"/>
      </w:pPr>
      <w:r>
        <w:separator/>
      </w:r>
    </w:p>
  </w:footnote>
  <w:footnote w:type="continuationSeparator" w:id="3">
    <w:p>
      <w:pPr>
        <w:spacing w:line="360" w:lineRule="auto"/>
      </w:pPr>
      <w:r>
        <w:continuationSeparator/>
      </w:r>
    </w:p>
  </w:footnote>
  <w:footnote w:id="0">
    <w:p w14:paraId="3E0D59B1">
      <w:pPr>
        <w:keepNext w:val="0"/>
        <w:keepLines w:val="0"/>
        <w:pageBreakBefore w:val="0"/>
        <w:widowControl w:val="0"/>
        <w:kinsoku/>
        <w:wordWrap/>
        <w:overflowPunct/>
        <w:topLinePunct w:val="0"/>
        <w:autoSpaceDE/>
        <w:autoSpaceDN/>
        <w:bidi w:val="0"/>
        <w:adjustRightInd/>
        <w:snapToGrid w:val="0"/>
        <w:spacing w:line="240" w:lineRule="auto"/>
        <w:ind w:left="360" w:leftChars="0" w:right="0" w:rightChars="0" w:hanging="360" w:hangingChars="200"/>
        <w:jc w:val="both"/>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eastAsia="zh-CN"/>
        </w:rPr>
        <w:t>收稿日期：</w:t>
      </w:r>
      <w:r>
        <w:rPr>
          <w:rFonts w:hint="default" w:ascii="Times New Roman" w:hAnsi="Times New Roman" w:eastAsia="宋体" w:cs="Times New Roman"/>
          <w:sz w:val="18"/>
          <w:szCs w:val="18"/>
          <w:lang w:val="en-US" w:eastAsia="zh-CN"/>
        </w:rPr>
        <w:t>2022-03-28.</w:t>
      </w:r>
    </w:p>
    <w:p w14:paraId="5C63E9EB">
      <w:pPr>
        <w:keepNext w:val="0"/>
        <w:keepLines w:val="0"/>
        <w:pageBreakBefore w:val="0"/>
        <w:widowControl w:val="0"/>
        <w:kinsoku/>
        <w:wordWrap/>
        <w:overflowPunct/>
        <w:topLinePunct w:val="0"/>
        <w:autoSpaceDE/>
        <w:autoSpaceDN/>
        <w:bidi w:val="0"/>
        <w:adjustRightInd/>
        <w:snapToGrid w:val="0"/>
        <w:spacing w:line="240" w:lineRule="auto"/>
        <w:ind w:left="360" w:leftChars="0" w:right="0" w:rightChars="0" w:hanging="360" w:hangingChars="200"/>
        <w:jc w:val="both"/>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基金项目：国家自然科学基金</w:t>
      </w:r>
      <w:r>
        <w:rPr>
          <w:rFonts w:hint="eastAsia" w:cs="Times New Roman"/>
          <w:sz w:val="18"/>
          <w:szCs w:val="18"/>
          <w:lang w:eastAsia="zh-CN"/>
        </w:rPr>
        <w:t>（</w:t>
      </w:r>
      <w:r>
        <w:rPr>
          <w:rFonts w:hint="default" w:ascii="Times New Roman" w:hAnsi="Times New Roman" w:eastAsia="宋体" w:cs="Times New Roman"/>
          <w:sz w:val="18"/>
          <w:szCs w:val="18"/>
        </w:rPr>
        <w:t>31901322</w:t>
      </w:r>
      <w:r>
        <w:rPr>
          <w:rFonts w:hint="eastAsia" w:cs="Times New Roman"/>
          <w:sz w:val="18"/>
          <w:szCs w:val="18"/>
          <w:lang w:val="en-US" w:eastAsia="zh-CN"/>
        </w:rPr>
        <w:t xml:space="preserve">, </w:t>
      </w:r>
      <w:r>
        <w:rPr>
          <w:rFonts w:hint="default" w:ascii="Times New Roman" w:hAnsi="Times New Roman" w:eastAsia="宋体" w:cs="Times New Roman"/>
          <w:sz w:val="18"/>
          <w:szCs w:val="18"/>
        </w:rPr>
        <w:t>32160376</w:t>
      </w:r>
      <w:r>
        <w:rPr>
          <w:rFonts w:hint="eastAsia" w:cs="Times New Roman"/>
          <w:sz w:val="18"/>
          <w:szCs w:val="18"/>
          <w:lang w:eastAsia="zh-CN"/>
        </w:rPr>
        <w:t>）</w:t>
      </w:r>
      <w:r>
        <w:rPr>
          <w:rFonts w:hint="default" w:ascii="Times New Roman" w:hAnsi="Times New Roman" w:eastAsia="宋体" w:cs="Times New Roman"/>
          <w:sz w:val="18"/>
          <w:szCs w:val="18"/>
        </w:rPr>
        <w:t>；云南省农业联合基金（2017FG001-075）</w:t>
      </w:r>
      <w:r>
        <w:rPr>
          <w:rFonts w:hint="default" w:ascii="Times New Roman" w:hAnsi="Times New Roman" w:cs="Times New Roman"/>
          <w:sz w:val="18"/>
          <w:szCs w:val="18"/>
          <w:lang w:val="en-US" w:eastAsia="zh-CN"/>
        </w:rPr>
        <w:t>.</w:t>
      </w:r>
    </w:p>
    <w:p w14:paraId="4A4B0B1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第一作者：李晓娜（1985-）</w:t>
      </w:r>
      <w:r>
        <w:rPr>
          <w:rFonts w:hint="eastAsia" w:cs="Times New Roman"/>
          <w:sz w:val="18"/>
          <w:szCs w:val="18"/>
          <w:lang w:eastAsia="zh-CN"/>
        </w:rPr>
        <w:t>，</w:t>
      </w:r>
      <w:r>
        <w:rPr>
          <w:rFonts w:hint="default" w:ascii="Times New Roman" w:hAnsi="Times New Roman" w:eastAsia="宋体" w:cs="Times New Roman"/>
          <w:sz w:val="18"/>
          <w:szCs w:val="18"/>
        </w:rPr>
        <w:t>女，博士，助理研究员</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研究方向为生态系统管理与环境监测</w:t>
      </w:r>
      <w:r>
        <w:rPr>
          <w:rFonts w:hint="default" w:ascii="Times New Roman" w:hAnsi="Times New Roman" w:eastAsia="宋体" w:cs="Times New Roman"/>
          <w:sz w:val="18"/>
          <w:szCs w:val="18"/>
          <w:lang w:val="en-US" w:eastAsia="zh-CN"/>
        </w:rPr>
        <w:t>.</w:t>
      </w:r>
      <w:r>
        <w:rPr>
          <w:rFonts w:hint="eastAsia" w:cs="Times New Roman"/>
          <w:sz w:val="18"/>
          <w:szCs w:val="18"/>
          <w:lang w:val="en-US" w:eastAsia="zh-CN"/>
        </w:rPr>
        <w:t xml:space="preserve"> </w:t>
      </w:r>
      <w:r>
        <w:rPr>
          <w:rFonts w:hint="default" w:ascii="Times New Roman" w:hAnsi="Times New Roman" w:eastAsia="宋体" w:cs="Times New Roman"/>
          <w:sz w:val="18"/>
          <w:szCs w:val="18"/>
        </w:rPr>
        <w:t>Email: xiaonali_20060429@163.com</w:t>
      </w:r>
      <w:r>
        <w:rPr>
          <w:rFonts w:hint="eastAsia" w:cs="Times New Roman"/>
          <w:sz w:val="18"/>
          <w:szCs w:val="18"/>
          <w:lang w:val="en-US" w:eastAsia="zh-CN"/>
        </w:rPr>
        <w:t>.</w:t>
      </w:r>
    </w:p>
    <w:p w14:paraId="10B5D7A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责任作者：王玉和（1984</w:t>
      </w:r>
      <w:r>
        <w:rPr>
          <w:rFonts w:hint="eastAsia" w:ascii="宋体" w:hAnsi="宋体" w:cs="宋体"/>
          <w:sz w:val="18"/>
          <w:szCs w:val="18"/>
          <w:lang w:val="en-US" w:eastAsia="zh-CN"/>
        </w:rPr>
        <w:t>-</w:t>
      </w:r>
      <w:r>
        <w:rPr>
          <w:rFonts w:hint="default" w:ascii="Times New Roman" w:hAnsi="Times New Roman" w:eastAsia="宋体" w:cs="Times New Roman"/>
          <w:sz w:val="18"/>
          <w:szCs w:val="18"/>
        </w:rPr>
        <w:t>），女，硕士，工程师</w:t>
      </w:r>
      <w:r>
        <w:rPr>
          <w:rFonts w:hint="default" w:ascii="Times New Roman" w:hAnsi="Times New Roman" w:eastAsia="宋体" w:cs="Times New Roman"/>
          <w:sz w:val="18"/>
          <w:szCs w:val="18"/>
          <w:lang w:val="en-US" w:eastAsia="zh-CN"/>
        </w:rPr>
        <w:t>.</w:t>
      </w:r>
      <w:r>
        <w:rPr>
          <w:rFonts w:hint="default" w:ascii="Times New Roman" w:hAnsi="Times New Roman" w:eastAsia="宋体" w:cs="Times New Roman"/>
          <w:sz w:val="18"/>
          <w:szCs w:val="18"/>
        </w:rPr>
        <w:t>研究方向为林业调查规划与政策研究</w:t>
      </w:r>
      <w:r>
        <w:rPr>
          <w:rFonts w:hint="default" w:ascii="Times New Roman" w:hAnsi="Times New Roman" w:eastAsia="宋体" w:cs="Times New Roman"/>
          <w:sz w:val="18"/>
          <w:szCs w:val="18"/>
          <w:lang w:val="en-US" w:eastAsia="zh-CN"/>
        </w:rPr>
        <w:t>.</w:t>
      </w:r>
      <w:r>
        <w:rPr>
          <w:rFonts w:hint="eastAsia" w:cs="Times New Roman"/>
          <w:sz w:val="18"/>
          <w:szCs w:val="18"/>
          <w:lang w:val="en-US" w:eastAsia="zh-CN"/>
        </w:rPr>
        <w:t xml:space="preserve"> </w:t>
      </w:r>
      <w:r>
        <w:rPr>
          <w:rFonts w:hint="default" w:ascii="Times New Roman" w:hAnsi="Times New Roman" w:eastAsia="宋体" w:cs="Times New Roman"/>
          <w:sz w:val="18"/>
          <w:szCs w:val="18"/>
        </w:rPr>
        <w:t>Email: 273091745@qq.com</w:t>
      </w:r>
      <w:r>
        <w:rPr>
          <w:rFonts w:hint="eastAsia" w:cs="Times New Roman"/>
          <w:sz w:val="18"/>
          <w:szCs w:val="18"/>
          <w:lang w:val="en-US"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60357C"/>
    <w:multiLevelType w:val="singleLevel"/>
    <w:tmpl w:val="2860357C"/>
    <w:lvl w:ilvl="0" w:tentative="0">
      <w:start w:val="2"/>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磊">
    <w15:presenceInfo w15:providerId="WPS Office" w15:userId="4139764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wZjg4YWRmNTYyNTllMDI3MDc2NWYzNjg0YWNhNDkifQ=="/>
  </w:docVars>
  <w:rsids>
    <w:rsidRoot w:val="000A2F5C"/>
    <w:rsid w:val="0000059D"/>
    <w:rsid w:val="000019A4"/>
    <w:rsid w:val="00003B9F"/>
    <w:rsid w:val="00011780"/>
    <w:rsid w:val="00013BCB"/>
    <w:rsid w:val="00025DE2"/>
    <w:rsid w:val="00031029"/>
    <w:rsid w:val="00032E7D"/>
    <w:rsid w:val="00035DD1"/>
    <w:rsid w:val="00040C91"/>
    <w:rsid w:val="00056B3F"/>
    <w:rsid w:val="000627C7"/>
    <w:rsid w:val="00065436"/>
    <w:rsid w:val="00081561"/>
    <w:rsid w:val="00082C9C"/>
    <w:rsid w:val="00085592"/>
    <w:rsid w:val="00097D69"/>
    <w:rsid w:val="000A12A7"/>
    <w:rsid w:val="000A1856"/>
    <w:rsid w:val="000A29CA"/>
    <w:rsid w:val="000A2F5C"/>
    <w:rsid w:val="000C4553"/>
    <w:rsid w:val="000C4FA8"/>
    <w:rsid w:val="000D42EC"/>
    <w:rsid w:val="000D54F5"/>
    <w:rsid w:val="000E6D71"/>
    <w:rsid w:val="000F5AA6"/>
    <w:rsid w:val="000F6283"/>
    <w:rsid w:val="00100F35"/>
    <w:rsid w:val="00104E26"/>
    <w:rsid w:val="00107F0B"/>
    <w:rsid w:val="00116B23"/>
    <w:rsid w:val="001247A3"/>
    <w:rsid w:val="00131693"/>
    <w:rsid w:val="0013186D"/>
    <w:rsid w:val="0013396B"/>
    <w:rsid w:val="0014156B"/>
    <w:rsid w:val="00154F5F"/>
    <w:rsid w:val="00155546"/>
    <w:rsid w:val="00164446"/>
    <w:rsid w:val="00170C60"/>
    <w:rsid w:val="00171FA4"/>
    <w:rsid w:val="00174F4B"/>
    <w:rsid w:val="0018530E"/>
    <w:rsid w:val="001B27D5"/>
    <w:rsid w:val="001B59A2"/>
    <w:rsid w:val="001E0EC5"/>
    <w:rsid w:val="001E4572"/>
    <w:rsid w:val="001E4BC8"/>
    <w:rsid w:val="001F2671"/>
    <w:rsid w:val="002110BB"/>
    <w:rsid w:val="00215AC6"/>
    <w:rsid w:val="002171D3"/>
    <w:rsid w:val="00225973"/>
    <w:rsid w:val="00226492"/>
    <w:rsid w:val="002438FC"/>
    <w:rsid w:val="0024412A"/>
    <w:rsid w:val="002651D4"/>
    <w:rsid w:val="00272A00"/>
    <w:rsid w:val="00274973"/>
    <w:rsid w:val="002939B1"/>
    <w:rsid w:val="002A412B"/>
    <w:rsid w:val="002C1055"/>
    <w:rsid w:val="002C495C"/>
    <w:rsid w:val="002E7C5B"/>
    <w:rsid w:val="002F3B70"/>
    <w:rsid w:val="00321E13"/>
    <w:rsid w:val="00332C31"/>
    <w:rsid w:val="00341E04"/>
    <w:rsid w:val="003436A0"/>
    <w:rsid w:val="00345D09"/>
    <w:rsid w:val="003612EC"/>
    <w:rsid w:val="003671D3"/>
    <w:rsid w:val="003726EC"/>
    <w:rsid w:val="003738D3"/>
    <w:rsid w:val="00383DCC"/>
    <w:rsid w:val="003B224E"/>
    <w:rsid w:val="003B37FF"/>
    <w:rsid w:val="003D21B6"/>
    <w:rsid w:val="003D4055"/>
    <w:rsid w:val="003D738D"/>
    <w:rsid w:val="003E08E5"/>
    <w:rsid w:val="003F08DA"/>
    <w:rsid w:val="003F7C5F"/>
    <w:rsid w:val="004115F9"/>
    <w:rsid w:val="00415305"/>
    <w:rsid w:val="0042737A"/>
    <w:rsid w:val="00450BF3"/>
    <w:rsid w:val="004759B2"/>
    <w:rsid w:val="00491BC4"/>
    <w:rsid w:val="00493997"/>
    <w:rsid w:val="0049451A"/>
    <w:rsid w:val="00495FED"/>
    <w:rsid w:val="004A539D"/>
    <w:rsid w:val="004A5F94"/>
    <w:rsid w:val="004B06AB"/>
    <w:rsid w:val="004C14A4"/>
    <w:rsid w:val="004C57E9"/>
    <w:rsid w:val="004D0D29"/>
    <w:rsid w:val="004D3BBB"/>
    <w:rsid w:val="004D6BA2"/>
    <w:rsid w:val="004E18BF"/>
    <w:rsid w:val="004F50F0"/>
    <w:rsid w:val="004F7FA6"/>
    <w:rsid w:val="00503751"/>
    <w:rsid w:val="00503C3E"/>
    <w:rsid w:val="00524F86"/>
    <w:rsid w:val="00533EB6"/>
    <w:rsid w:val="00540456"/>
    <w:rsid w:val="00540FA3"/>
    <w:rsid w:val="0054538A"/>
    <w:rsid w:val="00554651"/>
    <w:rsid w:val="005550DB"/>
    <w:rsid w:val="0055607F"/>
    <w:rsid w:val="005566C9"/>
    <w:rsid w:val="005566F7"/>
    <w:rsid w:val="00597E33"/>
    <w:rsid w:val="005B2391"/>
    <w:rsid w:val="005C3D4F"/>
    <w:rsid w:val="005D10A9"/>
    <w:rsid w:val="005D2F33"/>
    <w:rsid w:val="005D5054"/>
    <w:rsid w:val="005E6106"/>
    <w:rsid w:val="005F2EB7"/>
    <w:rsid w:val="00600087"/>
    <w:rsid w:val="0060416D"/>
    <w:rsid w:val="00611DEC"/>
    <w:rsid w:val="00622F69"/>
    <w:rsid w:val="006500AE"/>
    <w:rsid w:val="00656BB0"/>
    <w:rsid w:val="00660DC0"/>
    <w:rsid w:val="0066505C"/>
    <w:rsid w:val="006669F7"/>
    <w:rsid w:val="00680540"/>
    <w:rsid w:val="006843FF"/>
    <w:rsid w:val="00694FAD"/>
    <w:rsid w:val="006953DE"/>
    <w:rsid w:val="006B239D"/>
    <w:rsid w:val="006C0909"/>
    <w:rsid w:val="006D1F55"/>
    <w:rsid w:val="006E1017"/>
    <w:rsid w:val="006F2EAF"/>
    <w:rsid w:val="006F313D"/>
    <w:rsid w:val="006F74FF"/>
    <w:rsid w:val="00707E24"/>
    <w:rsid w:val="00714966"/>
    <w:rsid w:val="00720882"/>
    <w:rsid w:val="00730251"/>
    <w:rsid w:val="007365DA"/>
    <w:rsid w:val="00737BE2"/>
    <w:rsid w:val="00777B1B"/>
    <w:rsid w:val="00785B09"/>
    <w:rsid w:val="0078665C"/>
    <w:rsid w:val="007B0A75"/>
    <w:rsid w:val="007C78B3"/>
    <w:rsid w:val="007D4006"/>
    <w:rsid w:val="007D5CD7"/>
    <w:rsid w:val="007E1114"/>
    <w:rsid w:val="007E5707"/>
    <w:rsid w:val="007F01E7"/>
    <w:rsid w:val="007F1B79"/>
    <w:rsid w:val="007F44F5"/>
    <w:rsid w:val="007F6A5E"/>
    <w:rsid w:val="00817288"/>
    <w:rsid w:val="00826DB8"/>
    <w:rsid w:val="00845A06"/>
    <w:rsid w:val="00857954"/>
    <w:rsid w:val="0087317B"/>
    <w:rsid w:val="00884F84"/>
    <w:rsid w:val="0088563A"/>
    <w:rsid w:val="00892FC7"/>
    <w:rsid w:val="0089520E"/>
    <w:rsid w:val="00896426"/>
    <w:rsid w:val="008A23E0"/>
    <w:rsid w:val="008D2280"/>
    <w:rsid w:val="008D54CC"/>
    <w:rsid w:val="008D6B7E"/>
    <w:rsid w:val="008E5520"/>
    <w:rsid w:val="008F0B48"/>
    <w:rsid w:val="008F5907"/>
    <w:rsid w:val="008F721F"/>
    <w:rsid w:val="00903E47"/>
    <w:rsid w:val="00906D01"/>
    <w:rsid w:val="00913D7F"/>
    <w:rsid w:val="0092083A"/>
    <w:rsid w:val="009401EB"/>
    <w:rsid w:val="009421BB"/>
    <w:rsid w:val="00942703"/>
    <w:rsid w:val="009476AB"/>
    <w:rsid w:val="00973CD6"/>
    <w:rsid w:val="009743E0"/>
    <w:rsid w:val="00982E69"/>
    <w:rsid w:val="0098365B"/>
    <w:rsid w:val="0098444C"/>
    <w:rsid w:val="00985BB7"/>
    <w:rsid w:val="00987517"/>
    <w:rsid w:val="009902B8"/>
    <w:rsid w:val="0099102D"/>
    <w:rsid w:val="009B0B20"/>
    <w:rsid w:val="009C1E32"/>
    <w:rsid w:val="009C3814"/>
    <w:rsid w:val="009C771B"/>
    <w:rsid w:val="009E058F"/>
    <w:rsid w:val="009E478B"/>
    <w:rsid w:val="00A1405E"/>
    <w:rsid w:val="00A25C0D"/>
    <w:rsid w:val="00A54F4D"/>
    <w:rsid w:val="00A653F0"/>
    <w:rsid w:val="00A67E6A"/>
    <w:rsid w:val="00A72EDE"/>
    <w:rsid w:val="00A76698"/>
    <w:rsid w:val="00A85259"/>
    <w:rsid w:val="00A930F3"/>
    <w:rsid w:val="00AB6D9E"/>
    <w:rsid w:val="00AC17F5"/>
    <w:rsid w:val="00AC1AE7"/>
    <w:rsid w:val="00AC5B29"/>
    <w:rsid w:val="00AD4718"/>
    <w:rsid w:val="00AD647D"/>
    <w:rsid w:val="00AD722D"/>
    <w:rsid w:val="00AE1F0E"/>
    <w:rsid w:val="00AF0DBD"/>
    <w:rsid w:val="00AF6099"/>
    <w:rsid w:val="00B01AE2"/>
    <w:rsid w:val="00B042FD"/>
    <w:rsid w:val="00B2044E"/>
    <w:rsid w:val="00B24478"/>
    <w:rsid w:val="00B34552"/>
    <w:rsid w:val="00B35412"/>
    <w:rsid w:val="00B43002"/>
    <w:rsid w:val="00B44A50"/>
    <w:rsid w:val="00B47B99"/>
    <w:rsid w:val="00B5526B"/>
    <w:rsid w:val="00B652F1"/>
    <w:rsid w:val="00B7086E"/>
    <w:rsid w:val="00B7232B"/>
    <w:rsid w:val="00B766D4"/>
    <w:rsid w:val="00BA0C27"/>
    <w:rsid w:val="00BA2C0B"/>
    <w:rsid w:val="00BA55C3"/>
    <w:rsid w:val="00BB2E8C"/>
    <w:rsid w:val="00BC55F5"/>
    <w:rsid w:val="00C00C65"/>
    <w:rsid w:val="00C31DB0"/>
    <w:rsid w:val="00C36179"/>
    <w:rsid w:val="00C37907"/>
    <w:rsid w:val="00C46599"/>
    <w:rsid w:val="00C47C09"/>
    <w:rsid w:val="00C56355"/>
    <w:rsid w:val="00C61BA3"/>
    <w:rsid w:val="00C6209B"/>
    <w:rsid w:val="00C6595D"/>
    <w:rsid w:val="00C70A35"/>
    <w:rsid w:val="00C75DF9"/>
    <w:rsid w:val="00CA7C85"/>
    <w:rsid w:val="00CC0415"/>
    <w:rsid w:val="00CC0F36"/>
    <w:rsid w:val="00CC3C83"/>
    <w:rsid w:val="00CC5F76"/>
    <w:rsid w:val="00CC7AB1"/>
    <w:rsid w:val="00CD0373"/>
    <w:rsid w:val="00CD514C"/>
    <w:rsid w:val="00CD517D"/>
    <w:rsid w:val="00CE3E09"/>
    <w:rsid w:val="00CE4775"/>
    <w:rsid w:val="00CF2BE7"/>
    <w:rsid w:val="00CF3032"/>
    <w:rsid w:val="00CF5CEF"/>
    <w:rsid w:val="00D06A45"/>
    <w:rsid w:val="00D0751E"/>
    <w:rsid w:val="00D148DC"/>
    <w:rsid w:val="00D15A51"/>
    <w:rsid w:val="00D2078F"/>
    <w:rsid w:val="00D37729"/>
    <w:rsid w:val="00D40F39"/>
    <w:rsid w:val="00D41EFC"/>
    <w:rsid w:val="00D57EC8"/>
    <w:rsid w:val="00D60457"/>
    <w:rsid w:val="00D61E4F"/>
    <w:rsid w:val="00D62372"/>
    <w:rsid w:val="00D65042"/>
    <w:rsid w:val="00D66F6B"/>
    <w:rsid w:val="00D701A1"/>
    <w:rsid w:val="00D7321D"/>
    <w:rsid w:val="00D73ED4"/>
    <w:rsid w:val="00D80AC6"/>
    <w:rsid w:val="00D80C37"/>
    <w:rsid w:val="00D823D9"/>
    <w:rsid w:val="00D84B31"/>
    <w:rsid w:val="00D97522"/>
    <w:rsid w:val="00DA4206"/>
    <w:rsid w:val="00DB2581"/>
    <w:rsid w:val="00DD27AB"/>
    <w:rsid w:val="00DD3027"/>
    <w:rsid w:val="00DD362B"/>
    <w:rsid w:val="00DE22F8"/>
    <w:rsid w:val="00E20C59"/>
    <w:rsid w:val="00E270DA"/>
    <w:rsid w:val="00E3093D"/>
    <w:rsid w:val="00E31C4B"/>
    <w:rsid w:val="00E42925"/>
    <w:rsid w:val="00E50512"/>
    <w:rsid w:val="00E5381C"/>
    <w:rsid w:val="00E5646C"/>
    <w:rsid w:val="00E71B6E"/>
    <w:rsid w:val="00E7273E"/>
    <w:rsid w:val="00E74360"/>
    <w:rsid w:val="00E85E84"/>
    <w:rsid w:val="00E94CA3"/>
    <w:rsid w:val="00E94E3E"/>
    <w:rsid w:val="00EA202B"/>
    <w:rsid w:val="00EA54EF"/>
    <w:rsid w:val="00EB0A19"/>
    <w:rsid w:val="00EC3059"/>
    <w:rsid w:val="00EC5EDA"/>
    <w:rsid w:val="00ED1001"/>
    <w:rsid w:val="00ED15A4"/>
    <w:rsid w:val="00EE2F68"/>
    <w:rsid w:val="00EF7BF0"/>
    <w:rsid w:val="00F0250D"/>
    <w:rsid w:val="00F12BFF"/>
    <w:rsid w:val="00F22DCB"/>
    <w:rsid w:val="00F275C7"/>
    <w:rsid w:val="00F61827"/>
    <w:rsid w:val="00F62A9A"/>
    <w:rsid w:val="00F6420A"/>
    <w:rsid w:val="00F66554"/>
    <w:rsid w:val="00F74132"/>
    <w:rsid w:val="00F7591F"/>
    <w:rsid w:val="00F776E0"/>
    <w:rsid w:val="00F92746"/>
    <w:rsid w:val="00F92873"/>
    <w:rsid w:val="00FA5B40"/>
    <w:rsid w:val="00FB1F5F"/>
    <w:rsid w:val="00FB22AE"/>
    <w:rsid w:val="00FD0F25"/>
    <w:rsid w:val="00FD46E3"/>
    <w:rsid w:val="05720B50"/>
    <w:rsid w:val="063641C2"/>
    <w:rsid w:val="0E6B25E0"/>
    <w:rsid w:val="139B650D"/>
    <w:rsid w:val="17936FAB"/>
    <w:rsid w:val="22E04EF3"/>
    <w:rsid w:val="28CB24C3"/>
    <w:rsid w:val="2C4B4834"/>
    <w:rsid w:val="2E273353"/>
    <w:rsid w:val="2F176B83"/>
    <w:rsid w:val="2F9F0E88"/>
    <w:rsid w:val="32F70DAE"/>
    <w:rsid w:val="36AA789A"/>
    <w:rsid w:val="3D0D00CC"/>
    <w:rsid w:val="3D77710B"/>
    <w:rsid w:val="3ED96F6F"/>
    <w:rsid w:val="3FE200A5"/>
    <w:rsid w:val="410D1152"/>
    <w:rsid w:val="476E1C12"/>
    <w:rsid w:val="47A6578C"/>
    <w:rsid w:val="48D16F09"/>
    <w:rsid w:val="559D089E"/>
    <w:rsid w:val="579614F8"/>
    <w:rsid w:val="59EC5950"/>
    <w:rsid w:val="5A7B6CD4"/>
    <w:rsid w:val="5DDC3F2E"/>
    <w:rsid w:val="617050B9"/>
    <w:rsid w:val="624C1682"/>
    <w:rsid w:val="65065481"/>
    <w:rsid w:val="65444892"/>
    <w:rsid w:val="65A7460D"/>
    <w:rsid w:val="66FB34D6"/>
    <w:rsid w:val="68EF01DE"/>
    <w:rsid w:val="6AC62DA4"/>
    <w:rsid w:val="6B7D28AC"/>
    <w:rsid w:val="6C77554D"/>
    <w:rsid w:val="6DF541C4"/>
    <w:rsid w:val="70C224E3"/>
    <w:rsid w:val="72A16C2D"/>
    <w:rsid w:val="7FBB24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19"/>
    <w:autoRedefine/>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0"/>
    <w:qFormat/>
    <w:uiPriority w:val="0"/>
    <w:pPr>
      <w:keepNext/>
      <w:keepLines/>
      <w:spacing w:before="260" w:after="260" w:line="416" w:lineRule="auto"/>
      <w:outlineLvl w:val="2"/>
    </w:pPr>
    <w:rPr>
      <w:b/>
      <w:bCs/>
      <w:sz w:val="32"/>
      <w:szCs w:val="32"/>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semiHidden/>
    <w:qFormat/>
    <w:uiPriority w:val="0"/>
    <w:rPr>
      <w:rFonts w:ascii="微软雅黑" w:hAnsi="微软雅黑" w:eastAsia="微软雅黑" w:cs="微软雅黑"/>
      <w:sz w:val="17"/>
      <w:szCs w:val="17"/>
      <w:lang w:val="en-US" w:eastAsia="en-US" w:bidi="ar-SA"/>
    </w:rPr>
  </w:style>
  <w:style w:type="paragraph" w:styleId="6">
    <w:name w:val="Body Text Indent"/>
    <w:basedOn w:val="1"/>
    <w:qFormat/>
    <w:uiPriority w:val="0"/>
    <w:pPr>
      <w:spacing w:before="50"/>
      <w:ind w:firstLine="404" w:firstLineChars="200"/>
    </w:pPr>
    <w:rPr>
      <w:rFonts w:ascii="Times New Roman" w:hAnsi="Times New Roman" w:eastAsia="宋体" w:cs="Times New Roman"/>
      <w:color w:val="FF6600"/>
      <w:sz w:val="18"/>
      <w:szCs w:val="24"/>
    </w:rPr>
  </w:style>
  <w:style w:type="paragraph" w:styleId="7">
    <w:name w:val="footer"/>
    <w:basedOn w:val="1"/>
    <w:link w:val="18"/>
    <w:unhideWhenUsed/>
    <w:qFormat/>
    <w:uiPriority w:val="99"/>
    <w:pPr>
      <w:tabs>
        <w:tab w:val="center" w:pos="4153"/>
        <w:tab w:val="right" w:pos="8306"/>
      </w:tabs>
      <w:snapToGrid w:val="0"/>
      <w:spacing w:line="240" w:lineRule="auto"/>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footnote text"/>
    <w:basedOn w:val="1"/>
    <w:autoRedefine/>
    <w:unhideWhenUsed/>
    <w:qFormat/>
    <w:uiPriority w:val="99"/>
    <w:pPr>
      <w:snapToGrid w:val="0"/>
      <w:jc w:val="left"/>
    </w:pPr>
    <w:rPr>
      <w:sz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u w:val="single"/>
    </w:rPr>
  </w:style>
  <w:style w:type="character" w:styleId="14">
    <w:name w:val="footnote reference"/>
    <w:basedOn w:val="12"/>
    <w:unhideWhenUsed/>
    <w:qFormat/>
    <w:uiPriority w:val="99"/>
    <w:rPr>
      <w:vertAlign w:val="superscript"/>
    </w:rPr>
  </w:style>
  <w:style w:type="character" w:customStyle="1" w:styleId="15">
    <w:name w:val="标题 1 字符"/>
    <w:qFormat/>
    <w:uiPriority w:val="9"/>
    <w:rPr>
      <w:rFonts w:ascii="Times New Roman" w:hAnsi="Times New Roman" w:eastAsia="宋体" w:cs="Times New Roman"/>
      <w:b/>
      <w:bCs/>
      <w:kern w:val="44"/>
      <w:sz w:val="44"/>
      <w:szCs w:val="44"/>
    </w:rPr>
  </w:style>
  <w:style w:type="character" w:customStyle="1" w:styleId="16">
    <w:name w:val="标题 3 字符"/>
    <w:semiHidden/>
    <w:qFormat/>
    <w:uiPriority w:val="9"/>
    <w:rPr>
      <w:rFonts w:ascii="Times New Roman" w:hAnsi="Times New Roman" w:eastAsia="宋体" w:cs="Times New Roman"/>
      <w:b/>
      <w:bCs/>
      <w:sz w:val="32"/>
      <w:szCs w:val="32"/>
    </w:rPr>
  </w:style>
  <w:style w:type="character" w:customStyle="1" w:styleId="17">
    <w:name w:val="_Style 14"/>
    <w:unhideWhenUsed/>
    <w:qFormat/>
    <w:uiPriority w:val="99"/>
    <w:rPr>
      <w:color w:val="605E5C"/>
      <w:shd w:val="clear" w:color="auto" w:fill="E1DFDD"/>
    </w:rPr>
  </w:style>
  <w:style w:type="character" w:customStyle="1" w:styleId="18">
    <w:name w:val="页脚 字符"/>
    <w:link w:val="7"/>
    <w:qFormat/>
    <w:uiPriority w:val="99"/>
    <w:rPr>
      <w:rFonts w:ascii="Times New Roman" w:hAnsi="Times New Roman" w:eastAsia="宋体" w:cs="Times New Roman"/>
      <w:sz w:val="18"/>
      <w:szCs w:val="18"/>
    </w:rPr>
  </w:style>
  <w:style w:type="character" w:customStyle="1" w:styleId="19">
    <w:name w:val="标题 1 字符1"/>
    <w:link w:val="2"/>
    <w:autoRedefine/>
    <w:qFormat/>
    <w:uiPriority w:val="0"/>
    <w:rPr>
      <w:rFonts w:ascii="Times New Roman" w:hAnsi="Times New Roman" w:eastAsia="宋体" w:cs="Times New Roman"/>
      <w:b/>
      <w:bCs/>
      <w:kern w:val="44"/>
      <w:sz w:val="44"/>
      <w:szCs w:val="44"/>
    </w:rPr>
  </w:style>
  <w:style w:type="character" w:customStyle="1" w:styleId="20">
    <w:name w:val="标题 3 字符1"/>
    <w:link w:val="3"/>
    <w:qFormat/>
    <w:uiPriority w:val="0"/>
    <w:rPr>
      <w:rFonts w:ascii="Times New Roman" w:hAnsi="Times New Roman" w:eastAsia="宋体" w:cs="Times New Roman"/>
      <w:b/>
      <w:bCs/>
      <w:sz w:val="32"/>
      <w:szCs w:val="32"/>
    </w:rPr>
  </w:style>
  <w:style w:type="character" w:customStyle="1" w:styleId="21">
    <w:name w:val="页眉 字符"/>
    <w:link w:val="8"/>
    <w:autoRedefine/>
    <w:qFormat/>
    <w:uiPriority w:val="99"/>
    <w:rPr>
      <w:rFonts w:ascii="Times New Roman" w:hAnsi="Times New Roman" w:eastAsia="宋体" w:cs="Times New Roman"/>
      <w:sz w:val="18"/>
      <w:szCs w:val="18"/>
    </w:rPr>
  </w:style>
  <w:style w:type="paragraph" w:styleId="22">
    <w:name w:val="List Paragraph"/>
    <w:basedOn w:val="1"/>
    <w:autoRedefine/>
    <w:qFormat/>
    <w:uiPriority w:val="34"/>
    <w:pPr>
      <w:ind w:firstLine="420" w:firstLineChars="200"/>
    </w:pPr>
  </w:style>
  <w:style w:type="table" w:customStyle="1" w:styleId="23">
    <w:name w:val="_Style 20"/>
    <w:basedOn w:val="10"/>
    <w:autoRedefine/>
    <w:qFormat/>
    <w:uiPriority w:val="51"/>
    <w:rPr>
      <w:color w:val="000000"/>
    </w:rPr>
    <w:tblPr>
      <w:tblBorders>
        <w:top w:val="single" w:color="000000" w:sz="4" w:space="0"/>
        <w:bottom w:val="single" w:color="000000" w:sz="4" w:space="0"/>
      </w:tblBorders>
    </w:tblPr>
    <w:tblStylePr w:type="firstRow">
      <w:rPr>
        <w:b/>
        <w:bCs/>
      </w:rPr>
      <w:tcPr>
        <w:tcBorders>
          <w:top w:val="nil"/>
          <w:left w:val="single" w:color="000000" w:sz="4" w:space="0"/>
          <w:bottom w:val="nil"/>
          <w:right w:val="nil"/>
          <w:insideH w:val="nil"/>
          <w:insideV w:val="nil"/>
          <w:tl2br w:val="nil"/>
          <w:tr2bl w:val="nil"/>
        </w:tcBorders>
      </w:tcPr>
    </w:tblStylePr>
    <w:tblStylePr w:type="lastRow">
      <w:rPr>
        <w:b/>
        <w:bCs/>
      </w:rPr>
      <w:tcPr>
        <w:tcBorders>
          <w:top w:val="double" w:color="000000"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24">
    <w:name w:val="_Style 21"/>
    <w:basedOn w:val="10"/>
    <w:autoRedefine/>
    <w:qFormat/>
    <w:uiPriority w:val="42"/>
    <w:tblPr>
      <w:tblBorders>
        <w:top w:val="single" w:color="7F7F7F" w:sz="4" w:space="0"/>
        <w:bottom w:val="single" w:color="7F7F7F" w:sz="4" w:space="0"/>
      </w:tblBorders>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table" w:customStyle="1" w:styleId="25">
    <w:name w:val="_Style 22"/>
    <w:basedOn w:val="10"/>
    <w:qFormat/>
    <w:uiPriority w:val="51"/>
    <w:rPr>
      <w:color w:val="7B7B7B"/>
    </w:rPr>
    <w:tblPr>
      <w:tblBorders>
        <w:top w:val="single" w:color="A5A5A5" w:sz="4" w:space="0"/>
        <w:bottom w:val="single" w:color="A5A5A5" w:sz="4" w:space="0"/>
      </w:tblBorders>
    </w:tblPr>
    <w:tblStylePr w:type="firstRow">
      <w:rPr>
        <w:b/>
        <w:bCs/>
      </w:rPr>
      <w:tcPr>
        <w:tcBorders>
          <w:top w:val="nil"/>
          <w:left w:val="single" w:color="A5A5A5" w:sz="4" w:space="0"/>
          <w:bottom w:val="nil"/>
          <w:right w:val="nil"/>
          <w:insideH w:val="nil"/>
          <w:insideV w:val="nil"/>
          <w:tl2br w:val="nil"/>
          <w:tr2bl w:val="nil"/>
        </w:tcBorders>
      </w:tcPr>
    </w:tblStylePr>
    <w:tblStylePr w:type="lastRow">
      <w:rPr>
        <w:b/>
        <w:bCs/>
      </w:rPr>
      <w:tcPr>
        <w:tcBorders>
          <w:top w:val="double" w:color="A5A5A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EDEDED"/>
      </w:tcPr>
    </w:tblStylePr>
    <w:tblStylePr w:type="band1Horz">
      <w:tcPr>
        <w:shd w:val="clear" w:color="auto" w:fill="EDEDED"/>
      </w:tcPr>
    </w:tblStylePr>
  </w:style>
  <w:style w:type="paragraph" w:customStyle="1" w:styleId="26">
    <w:name w:val="EndNote Bibliography"/>
    <w:basedOn w:val="1"/>
    <w:autoRedefine/>
    <w:qFormat/>
    <w:uiPriority w:val="0"/>
    <w:pPr>
      <w:adjustRightInd w:val="0"/>
      <w:snapToGrid w:val="0"/>
      <w:spacing w:line="360" w:lineRule="auto"/>
      <w:jc w:val="left"/>
      <w:textAlignment w:val="top"/>
    </w:pPr>
    <w:rPr>
      <w:rFonts w:ascii="Times New Roman" w:hAnsi="Times New Roman" w:eastAsia="宋体" w:cs="Times New Roman"/>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4635</Words>
  <Characters>8686</Characters>
  <Lines>82</Lines>
  <Paragraphs>23</Paragraphs>
  <TotalTime>8</TotalTime>
  <ScaleCrop>false</ScaleCrop>
  <LinksUpToDate>false</LinksUpToDate>
  <CharactersWithSpaces>9640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2022-03-25T23:19:00Z</dcterms:created>
  <dc:creator>xiaoxiao</dc:creator>
  <cp:lastModifiedBy>大磊</cp:lastModifiedBy>
  <cp:lastPrinted>2022-03-29T02:09:00Z</cp:lastPrinted>
  <dcterms:modified xsi:type="dcterms:W3CDTF">2025-01-07T02:00:21Z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E73A16B415B24E11A2CCE06A107A250D_13</vt:lpwstr>
  </property>
  <property fmtid="{D5CDD505-2E9C-101B-9397-08002B2CF9AE}" pid="4" name="KSOTemplateDocerSaveRecord">
    <vt:lpwstr>eyJoZGlkIjoiY2IwZjg4YWRmNTYyNTllMDI3MDc2NWYzNjg0YWNhNDkiLCJ1c2VySWQiOiI1MzE1MDY0MjcifQ==</vt:lpwstr>
  </property>
</Properties>
</file>